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18AC4CC3" w:rsidR="00CE7E9A" w:rsidRPr="00B266B0" w:rsidRDefault="00CE7E9A" w:rsidP="00CE7E9A">
      <w:pPr>
        <w:pStyle w:val="Header"/>
        <w:tabs>
          <w:tab w:val="right" w:pos="9639"/>
        </w:tabs>
        <w:rPr>
          <w:bCs/>
          <w:i/>
          <w:noProof w:val="0"/>
          <w:sz w:val="24"/>
          <w:szCs w:val="24"/>
        </w:rPr>
      </w:pPr>
      <w:bookmarkStart w:id="0" w:name="_Hlk178327583"/>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25</w:t>
      </w:r>
      <w:r w:rsidR="00F5752C">
        <w:rPr>
          <w:noProof w:val="0"/>
          <w:sz w:val="24"/>
          <w:szCs w:val="24"/>
        </w:rPr>
        <w:t>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24</w:t>
      </w:r>
      <w:r w:rsidR="0071672C">
        <w:rPr>
          <w:bCs/>
          <w:noProof w:val="0"/>
          <w:sz w:val="24"/>
          <w:szCs w:val="24"/>
        </w:rPr>
        <w:t>5562</w:t>
      </w:r>
    </w:p>
    <w:p w14:paraId="1822B173" w14:textId="281F1E1B" w:rsidR="00CE7E9A" w:rsidRPr="00B1063A" w:rsidRDefault="00F5752C" w:rsidP="00CE7E9A">
      <w:pPr>
        <w:pStyle w:val="Header"/>
        <w:tabs>
          <w:tab w:val="right" w:pos="9639"/>
        </w:tabs>
        <w:rPr>
          <w:bCs/>
          <w:noProof w:val="0"/>
          <w:sz w:val="24"/>
          <w:szCs w:val="24"/>
          <w:lang w:val="en-US"/>
        </w:rPr>
      </w:pPr>
      <w:r w:rsidRPr="00F5752C">
        <w:rPr>
          <w:rFonts w:cs="Arial"/>
          <w:sz w:val="24"/>
          <w:szCs w:val="24"/>
          <w:lang w:val="en-US"/>
        </w:rPr>
        <w:t>Hefei, China, 14 – 17 October</w:t>
      </w:r>
      <w:r w:rsidR="00CE7E9A">
        <w:rPr>
          <w:rFonts w:cs="Arial"/>
          <w:sz w:val="24"/>
          <w:szCs w:val="24"/>
          <w:lang w:val="en-US"/>
        </w:rPr>
        <w:t>,</w:t>
      </w:r>
      <w:r w:rsidR="00CE7E9A" w:rsidRPr="002B0B54">
        <w:rPr>
          <w:rFonts w:cs="Arial"/>
          <w:sz w:val="24"/>
          <w:szCs w:val="24"/>
          <w:lang w:val="en-US"/>
        </w:rPr>
        <w:t xml:space="preserve"> </w:t>
      </w:r>
      <w:r w:rsidR="00CE7E9A" w:rsidRPr="00C84ED9">
        <w:rPr>
          <w:rFonts w:cs="Arial"/>
          <w:sz w:val="24"/>
          <w:szCs w:val="24"/>
          <w:lang w:val="en-US"/>
        </w:rPr>
        <w:t>202</w:t>
      </w:r>
      <w:r w:rsidR="00CE7E9A">
        <w:rPr>
          <w:rFonts w:cs="Arial"/>
          <w:sz w:val="24"/>
          <w:szCs w:val="24"/>
          <w:lang w:val="en-US"/>
        </w:rPr>
        <w:t>4</w:t>
      </w:r>
    </w:p>
    <w:p w14:paraId="05FE47DF" w14:textId="77777777" w:rsidR="00CE7E9A" w:rsidRPr="00B1063A" w:rsidRDefault="00CE7E9A" w:rsidP="00CE7E9A">
      <w:pPr>
        <w:pStyle w:val="Header"/>
        <w:rPr>
          <w:bCs/>
          <w:noProof w:val="0"/>
          <w:sz w:val="24"/>
          <w:lang w:val="en-US"/>
        </w:rPr>
      </w:pPr>
    </w:p>
    <w:p w14:paraId="0717E73E" w14:textId="77777777" w:rsidR="00CE7E9A" w:rsidRPr="00B1063A" w:rsidRDefault="00CE7E9A" w:rsidP="00CE7E9A">
      <w:pPr>
        <w:pStyle w:val="Header"/>
        <w:rPr>
          <w:bCs/>
          <w:noProof w:val="0"/>
          <w:sz w:val="24"/>
          <w:lang w:val="en-US"/>
        </w:rPr>
      </w:pPr>
    </w:p>
    <w:p w14:paraId="3B0EF5F6" w14:textId="3C47EABF" w:rsidR="00CE7E9A" w:rsidRPr="00B1063A" w:rsidRDefault="00CE7E9A" w:rsidP="00CE7E9A">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Pr>
          <w:rFonts w:cs="Arial"/>
          <w:b/>
          <w:bCs/>
          <w:sz w:val="24"/>
          <w:lang w:val="en-US" w:eastAsia="ja-JP"/>
        </w:rPr>
        <w:t>19.2</w:t>
      </w:r>
    </w:p>
    <w:p w14:paraId="47FEC04C" w14:textId="21D8E4F9" w:rsidR="00CE7E9A" w:rsidRPr="00B266B0" w:rsidRDefault="00CE7E9A" w:rsidP="00CE7E9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27D412FF" w14:textId="1ADD4946" w:rsidR="00CE7E9A" w:rsidRPr="00857FB0" w:rsidRDefault="00CE7E9A" w:rsidP="00CE7E9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Initial discussion on RAN3 work on </w:t>
      </w:r>
      <w:r w:rsidRPr="00857FB0">
        <w:rPr>
          <w:rFonts w:ascii="Arial" w:hAnsi="Arial" w:cs="Arial"/>
          <w:b/>
          <w:bCs/>
          <w:sz w:val="24"/>
          <w:lang w:val="en-US"/>
        </w:rPr>
        <w:t>Evolution of NR duplex operation: Sub-band full duplex (SBFD)</w:t>
      </w:r>
    </w:p>
    <w:p w14:paraId="6911FBAD" w14:textId="77777777" w:rsidR="00CE7E9A" w:rsidRPr="00B266B0" w:rsidRDefault="00CE7E9A" w:rsidP="00CE7E9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E7E9A" w:rsidRPr="006E13D1" w:rsidRDefault="00CE7E9A" w:rsidP="00CE7E9A">
      <w:pPr>
        <w:pStyle w:val="Heading1"/>
      </w:pPr>
      <w:r w:rsidRPr="006E13D1">
        <w:t>1</w:t>
      </w:r>
      <w:r w:rsidRPr="006E13D1">
        <w:tab/>
      </w:r>
      <w:r>
        <w:t>Introduction</w:t>
      </w:r>
    </w:p>
    <w:p w14:paraId="4860E0D2" w14:textId="7D42C2B1" w:rsidR="00CE7E9A" w:rsidRDefault="00CE7E9A" w:rsidP="00CE7E9A">
      <w:r>
        <w:t>This work is based on work item description “</w:t>
      </w:r>
      <w:r w:rsidRPr="00857FB0">
        <w:t>Evolution of NR duplex operation: Sub-band full duplex (SBFD)</w:t>
      </w:r>
      <w:r>
        <w:t>” in [1] and corresponding “</w:t>
      </w:r>
      <w:r w:rsidRPr="00857FB0">
        <w:t xml:space="preserve">LS to RAN3 on PHY/L1 aspects of information exchange among </w:t>
      </w:r>
      <w:proofErr w:type="spellStart"/>
      <w:r w:rsidRPr="00857FB0">
        <w:t>gNBs</w:t>
      </w:r>
      <w:proofErr w:type="spellEnd"/>
      <w:r w:rsidRPr="00857FB0">
        <w:t xml:space="preserve"> for CLI mitigation</w:t>
      </w:r>
      <w:r>
        <w:t>” received from RAN1 at the present meeting in [2].</w:t>
      </w:r>
    </w:p>
    <w:p w14:paraId="47180C49" w14:textId="4025CCF6" w:rsidR="00CE7E9A" w:rsidRDefault="00CE7E9A" w:rsidP="00CE7E9A">
      <w:r>
        <w:t>We here provide initial discussion on RAN3’s part of this work, with focus on stage 2 and signalling impacts in non-split architecture (</w:t>
      </w:r>
      <w:proofErr w:type="spellStart"/>
      <w:r>
        <w:t>Xn</w:t>
      </w:r>
      <w:proofErr w:type="spellEnd"/>
      <w:r>
        <w:t>).</w:t>
      </w:r>
    </w:p>
    <w:p w14:paraId="479DA40B" w14:textId="48D3C6AB" w:rsidR="00CE7E9A" w:rsidRPr="006E13D1" w:rsidRDefault="00CE7E9A" w:rsidP="00CE7E9A">
      <w:pPr>
        <w:pStyle w:val="Heading1"/>
      </w:pPr>
      <w:r w:rsidRPr="006E13D1">
        <w:t>2</w:t>
      </w:r>
      <w:r w:rsidRPr="006E13D1">
        <w:tab/>
      </w:r>
      <w:r>
        <w:t>Information provided to RAN3</w:t>
      </w:r>
    </w:p>
    <w:p w14:paraId="05AB05FA" w14:textId="3C80A789" w:rsidR="00CE7E9A" w:rsidRDefault="00CE7E9A" w:rsidP="00CE7E9A">
      <w:pPr>
        <w:pStyle w:val="00BodyText"/>
        <w:spacing w:after="0"/>
        <w:rPr>
          <w:rFonts w:ascii="Times New Roman" w:hAnsi="Times New Roman"/>
          <w:sz w:val="20"/>
          <w:lang w:val="en-GB"/>
        </w:rPr>
      </w:pPr>
      <w:r>
        <w:rPr>
          <w:rFonts w:ascii="Times New Roman" w:hAnsi="Times New Roman"/>
          <w:sz w:val="20"/>
          <w:lang w:val="en-GB"/>
        </w:rPr>
        <w:t xml:space="preserve">A preceding study on </w:t>
      </w:r>
      <w:r w:rsidRPr="00857FB0">
        <w:rPr>
          <w:rFonts w:ascii="Times New Roman" w:hAnsi="Times New Roman"/>
          <w:sz w:val="20"/>
          <w:lang w:val="en-GB"/>
        </w:rPr>
        <w:t>evolution of NR duplex operation</w:t>
      </w:r>
      <w:r>
        <w:rPr>
          <w:rFonts w:ascii="Times New Roman" w:hAnsi="Times New Roman"/>
          <w:sz w:val="20"/>
          <w:lang w:val="en-GB"/>
        </w:rPr>
        <w:t xml:space="preserve"> was done in Rel-18 time frame with outcome captured in TR 38.858, with RAN1 as primary responsible WG and RAN4 as secondary responsible WG. The TR was approved by RAN#102 (December 2023).</w:t>
      </w:r>
    </w:p>
    <w:p w14:paraId="3A619950" w14:textId="77777777" w:rsidR="00CE7E9A" w:rsidRDefault="00CE7E9A" w:rsidP="00CE7E9A">
      <w:pPr>
        <w:pStyle w:val="00BodyText"/>
        <w:spacing w:after="0"/>
        <w:rPr>
          <w:rFonts w:ascii="Times New Roman" w:hAnsi="Times New Roman"/>
          <w:sz w:val="20"/>
          <w:lang w:val="en-GB"/>
        </w:rPr>
      </w:pPr>
    </w:p>
    <w:p w14:paraId="6C7F50FC" w14:textId="476A83B1" w:rsidR="00CE7E9A" w:rsidRDefault="00CE7E9A" w:rsidP="00CE7E9A">
      <w:pPr>
        <w:pStyle w:val="00BodyText"/>
        <w:spacing w:after="0"/>
        <w:rPr>
          <w:rFonts w:ascii="Times New Roman" w:hAnsi="Times New Roman"/>
          <w:sz w:val="20"/>
          <w:lang w:val="en-GB"/>
        </w:rPr>
      </w:pPr>
      <w:r>
        <w:rPr>
          <w:rFonts w:ascii="Times New Roman" w:hAnsi="Times New Roman"/>
          <w:sz w:val="20"/>
          <w:lang w:val="en-GB"/>
        </w:rPr>
        <w:t>The TR provides background information and detailed performance analysis relative to SBFD (sub-band full duplex) operation, gNB-to-gNB CLI (cross-link interference) measurements and i</w:t>
      </w:r>
      <w:r w:rsidRPr="004740B7">
        <w:rPr>
          <w:rFonts w:ascii="Times New Roman" w:hAnsi="Times New Roman"/>
          <w:sz w:val="20"/>
          <w:lang w:val="en-GB"/>
        </w:rPr>
        <w:t>nter-gNB CLI handling schemes</w:t>
      </w:r>
      <w:r>
        <w:rPr>
          <w:rFonts w:ascii="Times New Roman" w:hAnsi="Times New Roman"/>
          <w:sz w:val="20"/>
          <w:lang w:val="en-GB"/>
        </w:rPr>
        <w:t xml:space="preserve">. The gNB-to-gNB CLI in SBFD can be illustrated as in </w:t>
      </w:r>
      <w:r>
        <w:rPr>
          <w:rFonts w:ascii="Times New Roman" w:hAnsi="Times New Roman"/>
          <w:sz w:val="20"/>
          <w:lang w:val="en-GB"/>
        </w:rPr>
        <w:fldChar w:fldCharType="begin"/>
      </w:r>
      <w:r>
        <w:rPr>
          <w:rFonts w:ascii="Times New Roman" w:hAnsi="Times New Roman"/>
          <w:sz w:val="20"/>
          <w:lang w:val="en-GB"/>
        </w:rPr>
        <w:instrText xml:space="preserve"> REF _Ref178278074 \h  \* MERGEFORMAT </w:instrText>
      </w:r>
      <w:r>
        <w:rPr>
          <w:rFonts w:ascii="Times New Roman" w:hAnsi="Times New Roman"/>
          <w:sz w:val="20"/>
          <w:lang w:val="en-GB"/>
        </w:rPr>
      </w:r>
      <w:r>
        <w:rPr>
          <w:rFonts w:ascii="Times New Roman" w:hAnsi="Times New Roman"/>
          <w:sz w:val="20"/>
          <w:lang w:val="en-GB"/>
        </w:rPr>
        <w:fldChar w:fldCharType="separate"/>
      </w:r>
      <w:r w:rsidRPr="004635BA">
        <w:rPr>
          <w:rFonts w:ascii="Times New Roman" w:hAnsi="Times New Roman"/>
          <w:sz w:val="20"/>
          <w:lang w:val="en-GB"/>
        </w:rPr>
        <w:t>Figure 1</w:t>
      </w:r>
      <w:r>
        <w:rPr>
          <w:rFonts w:ascii="Times New Roman" w:hAnsi="Times New Roman"/>
          <w:sz w:val="20"/>
          <w:lang w:val="en-GB"/>
        </w:rPr>
        <w:fldChar w:fldCharType="end"/>
      </w:r>
      <w:r>
        <w:rPr>
          <w:rFonts w:ascii="Times New Roman" w:hAnsi="Times New Roman"/>
          <w:sz w:val="20"/>
          <w:lang w:val="en-GB"/>
        </w:rPr>
        <w:t>.</w:t>
      </w:r>
    </w:p>
    <w:p w14:paraId="2DDF7E3E" w14:textId="77777777" w:rsidR="00F975D7" w:rsidRDefault="00F975D7" w:rsidP="00CE7E9A">
      <w:pPr>
        <w:pStyle w:val="00BodyText"/>
        <w:spacing w:after="0"/>
        <w:rPr>
          <w:rFonts w:ascii="Times New Roman" w:hAnsi="Times New Roman"/>
          <w:sz w:val="20"/>
          <w:lang w:val="en-GB"/>
        </w:rPr>
      </w:pPr>
    </w:p>
    <w:p w14:paraId="40D890A6" w14:textId="5E638696" w:rsidR="00F975D7" w:rsidRDefault="00280A0C" w:rsidP="00F975D7">
      <w:pPr>
        <w:pStyle w:val="00BodyText"/>
        <w:spacing w:after="0"/>
        <w:jc w:val="center"/>
        <w:rPr>
          <w:rFonts w:ascii="Times New Roman" w:hAnsi="Times New Roman"/>
          <w:sz w:val="20"/>
          <w:lang w:val="en-GB"/>
        </w:rPr>
      </w:pPr>
      <w:r>
        <w:rPr>
          <w:rFonts w:ascii="Times New Roman" w:hAnsi="Times New Roman"/>
          <w:noProof/>
          <w:sz w:val="20"/>
          <w:lang w:val="en-GB"/>
        </w:rPr>
        <w:pict w14:anchorId="31C33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20.5pt;height:160.5pt;visibility:visible;mso-wrap-style:square">
            <v:imagedata r:id="rId12" o:title=""/>
          </v:shape>
        </w:pict>
      </w:r>
    </w:p>
    <w:p w14:paraId="1C71E069" w14:textId="7ECF45D0" w:rsidR="00CE7E9A" w:rsidRDefault="00000000" w:rsidP="00CE7E9A">
      <w:pPr>
        <w:pStyle w:val="NormalWeb"/>
        <w:spacing w:before="0" w:beforeAutospacing="0" w:after="60" w:afterAutospacing="0"/>
      </w:pPr>
      <w:r>
        <w:rPr>
          <w:noProof/>
        </w:rPr>
        <w:pict w14:anchorId="47D20C3C">
          <v:shapetype id="_x0000_t202" coordsize="21600,21600" o:spt="202" path="m,l,21600r21600,l21600,xe">
            <v:stroke joinstyle="miter"/>
            <v:path gradientshapeok="t" o:connecttype="rect"/>
          </v:shapetype>
          <v:shape id="_x0000_s2094" type="#_x0000_t202" style="position:absolute;margin-left:0;margin-top:1.85pt;width:463.6pt;height:19.45pt;z-index:1" stroked="f">
            <v:textbox inset="0,0,0,0">
              <w:txbxContent>
                <w:p w14:paraId="0619FD17" w14:textId="77777777" w:rsidR="00CE7E9A" w:rsidRPr="002E6450" w:rsidRDefault="00CE7E9A" w:rsidP="00CE7E9A">
                  <w:pPr>
                    <w:pStyle w:val="Caption"/>
                    <w:jc w:val="center"/>
                    <w:rPr>
                      <w:b w:val="0"/>
                      <w:bCs w:val="0"/>
                    </w:rPr>
                  </w:pPr>
                  <w:r w:rsidRPr="002E6450">
                    <w:rPr>
                      <w:b w:val="0"/>
                      <w:bCs w:val="0"/>
                    </w:rPr>
                    <w:t xml:space="preserve">Figure </w:t>
                  </w:r>
                  <w:r w:rsidRPr="002E6450">
                    <w:rPr>
                      <w:b w:val="0"/>
                      <w:bCs w:val="0"/>
                    </w:rPr>
                    <w:fldChar w:fldCharType="begin"/>
                  </w:r>
                  <w:r w:rsidRPr="002E6450">
                    <w:rPr>
                      <w:b w:val="0"/>
                      <w:bCs w:val="0"/>
                    </w:rPr>
                    <w:instrText xml:space="preserve"> SEQ Figure \* ARABIC </w:instrText>
                  </w:r>
                  <w:r w:rsidRPr="002E6450">
                    <w:rPr>
                      <w:b w:val="0"/>
                      <w:bCs w:val="0"/>
                    </w:rPr>
                    <w:fldChar w:fldCharType="separate"/>
                  </w:r>
                  <w:r>
                    <w:rPr>
                      <w:b w:val="0"/>
                      <w:bCs w:val="0"/>
                      <w:noProof/>
                    </w:rPr>
                    <w:t>1</w:t>
                  </w:r>
                  <w:r w:rsidRPr="002E6450">
                    <w:rPr>
                      <w:b w:val="0"/>
                      <w:bCs w:val="0"/>
                    </w:rPr>
                    <w:fldChar w:fldCharType="end"/>
                  </w:r>
                  <w:r w:rsidRPr="002E6450">
                    <w:rPr>
                      <w:b w:val="0"/>
                      <w:bCs w:val="0"/>
                    </w:rPr>
                    <w:t xml:space="preserve">: gNB-to-gNB </w:t>
                  </w:r>
                  <w:r>
                    <w:rPr>
                      <w:b w:val="0"/>
                      <w:bCs w:val="0"/>
                    </w:rPr>
                    <w:t>cross-link interference</w:t>
                  </w:r>
                  <w:r w:rsidRPr="002E6450">
                    <w:rPr>
                      <w:b w:val="0"/>
                      <w:bCs w:val="0"/>
                    </w:rPr>
                    <w:t xml:space="preserve"> in </w:t>
                  </w:r>
                  <w:r>
                    <w:rPr>
                      <w:b w:val="0"/>
                      <w:bCs w:val="0"/>
                    </w:rPr>
                    <w:t>sub-band full duplex operation</w:t>
                  </w:r>
                </w:p>
              </w:txbxContent>
            </v:textbox>
          </v:shape>
        </w:pict>
      </w:r>
    </w:p>
    <w:p w14:paraId="08FB5085" w14:textId="77777777" w:rsidR="00CE7E9A" w:rsidRDefault="00CE7E9A" w:rsidP="00CE7E9A">
      <w:pPr>
        <w:pStyle w:val="00BodyText"/>
        <w:spacing w:after="0"/>
        <w:rPr>
          <w:rFonts w:ascii="Times New Roman" w:hAnsi="Times New Roman"/>
          <w:sz w:val="20"/>
          <w:lang w:val="en-GB"/>
        </w:rPr>
      </w:pPr>
    </w:p>
    <w:p w14:paraId="16673DBF" w14:textId="77777777" w:rsidR="00CE7E9A" w:rsidRDefault="00CE7E9A" w:rsidP="00CE7E9A">
      <w:pPr>
        <w:pStyle w:val="00BodyText"/>
        <w:spacing w:after="0"/>
        <w:rPr>
          <w:rFonts w:ascii="Times New Roman" w:hAnsi="Times New Roman"/>
          <w:sz w:val="20"/>
          <w:lang w:val="en-GB"/>
        </w:rPr>
      </w:pPr>
    </w:p>
    <w:p w14:paraId="2F8F2315" w14:textId="7193E33B" w:rsidR="00CE7E9A" w:rsidRDefault="00CE7E9A" w:rsidP="00CE7E9A">
      <w:pPr>
        <w:pStyle w:val="00BodyText"/>
        <w:spacing w:after="0"/>
        <w:rPr>
          <w:rFonts w:ascii="Times New Roman" w:hAnsi="Times New Roman"/>
          <w:sz w:val="20"/>
          <w:lang w:val="en-GB"/>
        </w:rPr>
      </w:pPr>
      <w:r>
        <w:rPr>
          <w:rFonts w:ascii="Times New Roman" w:hAnsi="Times New Roman"/>
          <w:sz w:val="20"/>
          <w:lang w:val="en-GB"/>
        </w:rPr>
        <w:t>For i</w:t>
      </w:r>
      <w:r w:rsidRPr="004740B7">
        <w:rPr>
          <w:rFonts w:ascii="Times New Roman" w:hAnsi="Times New Roman"/>
          <w:sz w:val="20"/>
          <w:lang w:val="en-GB"/>
        </w:rPr>
        <w:t>nter-gNB CLI handling</w:t>
      </w:r>
      <w:r>
        <w:rPr>
          <w:rFonts w:ascii="Times New Roman" w:hAnsi="Times New Roman"/>
          <w:sz w:val="20"/>
          <w:lang w:val="en-GB"/>
        </w:rPr>
        <w:t>, RAN1 has identified coordinated scheduling and spatial coordination as the main areas for discussion. Among the spatial coordination, 2 schemes are considered, namely beam nulling and beam pairing. A description of each of the schemes</w:t>
      </w:r>
      <w:r w:rsidR="00D71A52">
        <w:rPr>
          <w:rFonts w:ascii="Times New Roman" w:hAnsi="Times New Roman"/>
          <w:sz w:val="20"/>
          <w:lang w:val="en-GB"/>
        </w:rPr>
        <w:t xml:space="preserve"> is </w:t>
      </w:r>
      <w:r w:rsidR="00871A3A">
        <w:rPr>
          <w:rFonts w:ascii="Times New Roman" w:hAnsi="Times New Roman"/>
          <w:sz w:val="20"/>
          <w:lang w:val="en-GB"/>
        </w:rPr>
        <w:t xml:space="preserve">as </w:t>
      </w:r>
      <w:r w:rsidR="00151E85">
        <w:rPr>
          <w:rFonts w:ascii="Times New Roman" w:hAnsi="Times New Roman"/>
          <w:sz w:val="20"/>
          <w:lang w:val="en-GB"/>
        </w:rPr>
        <w:t>found below:</w:t>
      </w:r>
    </w:p>
    <w:p w14:paraId="0476CC7A" w14:textId="0FBDCBF4" w:rsidR="00CE7E9A" w:rsidRPr="002042C3" w:rsidRDefault="00CE7E9A" w:rsidP="00CE7E9A">
      <w:pPr>
        <w:pStyle w:val="NormalWeb"/>
        <w:numPr>
          <w:ilvl w:val="0"/>
          <w:numId w:val="7"/>
        </w:numPr>
        <w:spacing w:before="0" w:beforeAutospacing="0" w:after="60" w:afterAutospacing="0"/>
        <w:rPr>
          <w:kern w:val="24"/>
          <w:sz w:val="20"/>
          <w:szCs w:val="20"/>
        </w:rPr>
      </w:pPr>
      <w:r w:rsidRPr="00B31E63">
        <w:rPr>
          <w:b/>
          <w:bCs/>
          <w:kern w:val="24"/>
          <w:sz w:val="20"/>
          <w:szCs w:val="20"/>
        </w:rPr>
        <w:t>Coordinated scheduling</w:t>
      </w:r>
      <w:r w:rsidRPr="00B31E63">
        <w:rPr>
          <w:kern w:val="24"/>
          <w:sz w:val="20"/>
          <w:szCs w:val="20"/>
        </w:rPr>
        <w:t xml:space="preserve">: </w:t>
      </w:r>
      <w:proofErr w:type="spellStart"/>
      <w:r w:rsidRPr="00B31E63">
        <w:rPr>
          <w:kern w:val="24"/>
          <w:sz w:val="20"/>
          <w:szCs w:val="20"/>
        </w:rPr>
        <w:t>gNBs</w:t>
      </w:r>
      <w:proofErr w:type="spellEnd"/>
      <w:r w:rsidRPr="00B31E63">
        <w:rPr>
          <w:kern w:val="24"/>
          <w:sz w:val="20"/>
          <w:szCs w:val="20"/>
        </w:rPr>
        <w:t xml:space="preserve"> rely on the time and frequency SBFD configuration </w:t>
      </w:r>
      <w:r>
        <w:rPr>
          <w:kern w:val="24"/>
          <w:sz w:val="20"/>
          <w:szCs w:val="20"/>
        </w:rPr>
        <w:t>from</w:t>
      </w:r>
      <w:r w:rsidRPr="00B31E63">
        <w:rPr>
          <w:kern w:val="24"/>
          <w:sz w:val="20"/>
          <w:szCs w:val="20"/>
        </w:rPr>
        <w:t xml:space="preserve"> neighboring cells to adjust its scheduling decisions. For instance, a TDD gNB might decide to not use </w:t>
      </w:r>
      <w:r>
        <w:rPr>
          <w:kern w:val="24"/>
          <w:sz w:val="20"/>
          <w:szCs w:val="20"/>
        </w:rPr>
        <w:t xml:space="preserve">for DL transmissions those resources that overlap with the UL </w:t>
      </w:r>
      <w:proofErr w:type="spellStart"/>
      <w:r>
        <w:rPr>
          <w:kern w:val="24"/>
          <w:sz w:val="20"/>
          <w:szCs w:val="20"/>
        </w:rPr>
        <w:t>subband</w:t>
      </w:r>
      <w:proofErr w:type="spellEnd"/>
      <w:r>
        <w:rPr>
          <w:kern w:val="24"/>
          <w:sz w:val="20"/>
          <w:szCs w:val="20"/>
        </w:rPr>
        <w:t xml:space="preserve"> of a </w:t>
      </w:r>
      <w:proofErr w:type="spellStart"/>
      <w:r>
        <w:rPr>
          <w:kern w:val="24"/>
          <w:sz w:val="20"/>
          <w:szCs w:val="20"/>
        </w:rPr>
        <w:t>neighbour</w:t>
      </w:r>
      <w:proofErr w:type="spellEnd"/>
      <w:r>
        <w:rPr>
          <w:kern w:val="24"/>
          <w:sz w:val="20"/>
          <w:szCs w:val="20"/>
        </w:rPr>
        <w:t xml:space="preserve"> SBFD gNB</w:t>
      </w:r>
      <w:r w:rsidRPr="00B31E63">
        <w:rPr>
          <w:kern w:val="24"/>
          <w:sz w:val="20"/>
          <w:szCs w:val="20"/>
        </w:rPr>
        <w:t xml:space="preserve">. </w:t>
      </w:r>
      <w:r>
        <w:rPr>
          <w:kern w:val="24"/>
          <w:sz w:val="20"/>
          <w:szCs w:val="20"/>
        </w:rPr>
        <w:t xml:space="preserve">Among SBFD-capable </w:t>
      </w:r>
      <w:proofErr w:type="spellStart"/>
      <w:r>
        <w:rPr>
          <w:kern w:val="24"/>
          <w:sz w:val="20"/>
          <w:szCs w:val="20"/>
        </w:rPr>
        <w:t>gNBs</w:t>
      </w:r>
      <w:proofErr w:type="spellEnd"/>
      <w:r>
        <w:rPr>
          <w:kern w:val="24"/>
          <w:sz w:val="20"/>
          <w:szCs w:val="20"/>
        </w:rPr>
        <w:t xml:space="preserve">, this information is also useful to ensure that the SBFD </w:t>
      </w:r>
      <w:proofErr w:type="spellStart"/>
      <w:r>
        <w:rPr>
          <w:kern w:val="24"/>
          <w:sz w:val="20"/>
          <w:szCs w:val="20"/>
        </w:rPr>
        <w:t>subbands</w:t>
      </w:r>
      <w:proofErr w:type="spellEnd"/>
      <w:r>
        <w:rPr>
          <w:kern w:val="24"/>
          <w:sz w:val="20"/>
          <w:szCs w:val="20"/>
        </w:rPr>
        <w:t xml:space="preserve"> are correctly configured to avoid potential intra-</w:t>
      </w:r>
      <w:proofErr w:type="spellStart"/>
      <w:r>
        <w:rPr>
          <w:kern w:val="24"/>
          <w:sz w:val="20"/>
          <w:szCs w:val="20"/>
        </w:rPr>
        <w:t>subband</w:t>
      </w:r>
      <w:proofErr w:type="spellEnd"/>
      <w:r>
        <w:rPr>
          <w:kern w:val="24"/>
          <w:sz w:val="20"/>
          <w:szCs w:val="20"/>
        </w:rPr>
        <w:t xml:space="preserve"> gNB-to-gNB CLI. </w:t>
      </w:r>
      <w:r w:rsidRPr="00B31E63">
        <w:rPr>
          <w:kern w:val="24"/>
          <w:sz w:val="20"/>
          <w:szCs w:val="20"/>
        </w:rPr>
        <w:t>Additionally, th</w:t>
      </w:r>
      <w:r>
        <w:rPr>
          <w:kern w:val="24"/>
          <w:sz w:val="20"/>
          <w:szCs w:val="20"/>
        </w:rPr>
        <w:t xml:space="preserve">e time/frequency SBFD configuration </w:t>
      </w:r>
      <w:r w:rsidRPr="00B31E63">
        <w:rPr>
          <w:kern w:val="24"/>
          <w:sz w:val="20"/>
          <w:szCs w:val="20"/>
        </w:rPr>
        <w:t xml:space="preserve">information is also needed to </w:t>
      </w:r>
      <w:r w:rsidRPr="00B31E63">
        <w:rPr>
          <w:kern w:val="24"/>
          <w:sz w:val="20"/>
          <w:szCs w:val="20"/>
        </w:rPr>
        <w:lastRenderedPageBreak/>
        <w:t xml:space="preserve">correctly assign the CSI-RS resources for CSI-RS-based </w:t>
      </w:r>
      <w:r>
        <w:rPr>
          <w:kern w:val="24"/>
          <w:sz w:val="20"/>
          <w:szCs w:val="20"/>
        </w:rPr>
        <w:t xml:space="preserve">inter-cell </w:t>
      </w:r>
      <w:r w:rsidRPr="00B31E63">
        <w:rPr>
          <w:kern w:val="24"/>
          <w:sz w:val="20"/>
          <w:szCs w:val="20"/>
        </w:rPr>
        <w:t>UE mobility as well as for CSI-RS-based gNB-to-gNB CLI measurements.</w:t>
      </w:r>
    </w:p>
    <w:p w14:paraId="6233AC2D" w14:textId="43183B32" w:rsidR="00CE7E9A" w:rsidRPr="004740B7" w:rsidRDefault="00CE7E9A" w:rsidP="00CE7E9A">
      <w:pPr>
        <w:pStyle w:val="NormalWeb"/>
        <w:numPr>
          <w:ilvl w:val="0"/>
          <w:numId w:val="7"/>
        </w:numPr>
        <w:spacing w:before="0" w:beforeAutospacing="0" w:after="60" w:afterAutospacing="0"/>
      </w:pPr>
      <w:r w:rsidRPr="004740B7">
        <w:rPr>
          <w:b/>
          <w:bCs/>
          <w:kern w:val="24"/>
          <w:sz w:val="20"/>
          <w:szCs w:val="20"/>
        </w:rPr>
        <w:t xml:space="preserve">Beam nulling (FR1): </w:t>
      </w:r>
      <w:r w:rsidRPr="00811C91">
        <w:rPr>
          <w:kern w:val="24"/>
          <w:sz w:val="20"/>
          <w:szCs w:val="20"/>
          <w:lang w:val="en-GB"/>
        </w:rPr>
        <w:t xml:space="preserve">Beam nulling is a spatial coordination technique for gNB-to-gNB CLI mitigation intended for FR1. The intention is that the aggressor gNB estimates the aggressor-victim channel and uses it for the DL precoder design, trying to create a null towards the victim gNB. </w:t>
      </w:r>
      <w:r>
        <w:rPr>
          <w:kern w:val="24"/>
          <w:sz w:val="20"/>
          <w:szCs w:val="20"/>
          <w:lang w:val="en-GB"/>
        </w:rPr>
        <w:t xml:space="preserve">The </w:t>
      </w:r>
      <w:r>
        <w:rPr>
          <w:sz w:val="20"/>
          <w:lang w:val="en-GB"/>
        </w:rPr>
        <w:t>i</w:t>
      </w:r>
      <w:r w:rsidRPr="004740B7">
        <w:rPr>
          <w:sz w:val="20"/>
          <w:lang w:val="en-GB"/>
        </w:rPr>
        <w:t>nter-gNB CLI handling scheme</w:t>
      </w:r>
      <w:r>
        <w:rPr>
          <w:sz w:val="20"/>
          <w:lang w:val="en-GB"/>
        </w:rPr>
        <w:t xml:space="preserve"> based on beam nulling implies that the</w:t>
      </w:r>
      <w:r>
        <w:rPr>
          <w:kern w:val="24"/>
          <w:sz w:val="20"/>
          <w:szCs w:val="20"/>
          <w:lang w:val="en-GB"/>
        </w:rPr>
        <w:t xml:space="preserve"> </w:t>
      </w:r>
      <w:r w:rsidRPr="00811C91">
        <w:rPr>
          <w:kern w:val="24"/>
          <w:sz w:val="20"/>
          <w:szCs w:val="20"/>
        </w:rPr>
        <w:t>aggressor gNB measures CSI-RS from victim gNB</w:t>
      </w:r>
      <w:r>
        <w:rPr>
          <w:kern w:val="24"/>
          <w:sz w:val="20"/>
          <w:szCs w:val="20"/>
        </w:rPr>
        <w:t xml:space="preserve"> and</w:t>
      </w:r>
      <w:r w:rsidRPr="00811C91">
        <w:rPr>
          <w:kern w:val="24"/>
          <w:sz w:val="20"/>
          <w:szCs w:val="20"/>
        </w:rPr>
        <w:t xml:space="preserve"> </w:t>
      </w:r>
      <w:r>
        <w:rPr>
          <w:kern w:val="24"/>
          <w:sz w:val="20"/>
          <w:szCs w:val="20"/>
        </w:rPr>
        <w:t xml:space="preserve">when detected </w:t>
      </w:r>
      <w:r w:rsidRPr="00811C91">
        <w:rPr>
          <w:kern w:val="24"/>
          <w:sz w:val="20"/>
          <w:szCs w:val="20"/>
        </w:rPr>
        <w:t>applies precoder adaptation.</w:t>
      </w:r>
    </w:p>
    <w:p w14:paraId="4A871554" w14:textId="225C1841" w:rsidR="00CE7E9A" w:rsidRPr="002042C3" w:rsidRDefault="00CE7E9A" w:rsidP="00CE7E9A">
      <w:pPr>
        <w:pStyle w:val="NormalWeb"/>
        <w:numPr>
          <w:ilvl w:val="0"/>
          <w:numId w:val="7"/>
        </w:numPr>
        <w:spacing w:before="0" w:beforeAutospacing="0" w:after="60" w:afterAutospacing="0"/>
      </w:pPr>
      <w:r w:rsidRPr="004740B7">
        <w:rPr>
          <w:b/>
          <w:bCs/>
          <w:kern w:val="24"/>
          <w:sz w:val="20"/>
          <w:szCs w:val="20"/>
        </w:rPr>
        <w:t xml:space="preserve">Beam pairing (FR2): </w:t>
      </w:r>
      <w:r w:rsidRPr="00811C91">
        <w:rPr>
          <w:kern w:val="24"/>
          <w:sz w:val="20"/>
          <w:szCs w:val="20"/>
          <w:lang w:val="en-GB"/>
        </w:rPr>
        <w:t>Beam pairing is a spatial coordination technique for gNB-to-gNB CLI mitigation intended for FR2. The intention is that victim gNB identifies the Tx beam that creates the highest CLI and notifies the aggressor gNB.</w:t>
      </w:r>
      <w:r w:rsidRPr="00811C91">
        <w:rPr>
          <w:b/>
          <w:bCs/>
          <w:kern w:val="24"/>
          <w:sz w:val="20"/>
          <w:szCs w:val="20"/>
          <w:lang w:val="en-GB"/>
        </w:rPr>
        <w:t xml:space="preserve"> </w:t>
      </w:r>
      <w:r>
        <w:rPr>
          <w:kern w:val="24"/>
          <w:sz w:val="20"/>
          <w:szCs w:val="20"/>
          <w:lang w:val="en-GB"/>
        </w:rPr>
        <w:t xml:space="preserve">The </w:t>
      </w:r>
      <w:r>
        <w:rPr>
          <w:sz w:val="20"/>
          <w:lang w:val="en-GB"/>
        </w:rPr>
        <w:t>i</w:t>
      </w:r>
      <w:r w:rsidRPr="004740B7">
        <w:rPr>
          <w:sz w:val="20"/>
          <w:lang w:val="en-GB"/>
        </w:rPr>
        <w:t>nter-gNB CLI handling scheme</w:t>
      </w:r>
      <w:r>
        <w:rPr>
          <w:sz w:val="20"/>
          <w:lang w:val="en-GB"/>
        </w:rPr>
        <w:t xml:space="preserve"> based on beam pairing implies that the </w:t>
      </w:r>
      <w:r w:rsidRPr="004740B7">
        <w:rPr>
          <w:kern w:val="24"/>
          <w:sz w:val="20"/>
          <w:szCs w:val="20"/>
        </w:rPr>
        <w:t>victim gNB measures CSI-RS from aggressor gNB, victim gNB reports the results</w:t>
      </w:r>
      <w:r>
        <w:rPr>
          <w:kern w:val="24"/>
          <w:sz w:val="20"/>
          <w:szCs w:val="20"/>
        </w:rPr>
        <w:t xml:space="preserve"> and the</w:t>
      </w:r>
      <w:r w:rsidRPr="004740B7">
        <w:rPr>
          <w:kern w:val="24"/>
          <w:sz w:val="20"/>
          <w:szCs w:val="20"/>
        </w:rPr>
        <w:t xml:space="preserve"> aggressor gNB </w:t>
      </w:r>
      <w:r>
        <w:rPr>
          <w:kern w:val="24"/>
          <w:sz w:val="20"/>
          <w:szCs w:val="20"/>
        </w:rPr>
        <w:t xml:space="preserve">then </w:t>
      </w:r>
      <w:r w:rsidRPr="004740B7">
        <w:rPr>
          <w:kern w:val="24"/>
          <w:sz w:val="20"/>
          <w:szCs w:val="20"/>
        </w:rPr>
        <w:t>ensures that the reported beams are not used in SBFD slots</w:t>
      </w:r>
      <w:r>
        <w:rPr>
          <w:kern w:val="24"/>
          <w:sz w:val="20"/>
          <w:szCs w:val="20"/>
        </w:rPr>
        <w:t>.</w:t>
      </w:r>
    </w:p>
    <w:p w14:paraId="6B7EA0F4" w14:textId="77777777" w:rsidR="00CE7E9A" w:rsidRDefault="00CE7E9A" w:rsidP="00CE7E9A">
      <w:pPr>
        <w:pStyle w:val="ListParagraph"/>
      </w:pPr>
    </w:p>
    <w:p w14:paraId="7C0592B5" w14:textId="53C2204F" w:rsidR="00CE7E9A" w:rsidRPr="004635BA" w:rsidRDefault="00CE7E9A" w:rsidP="00CE7E9A">
      <w:pPr>
        <w:pStyle w:val="00BodyText"/>
        <w:spacing w:after="0"/>
        <w:rPr>
          <w:rFonts w:ascii="Times New Roman" w:hAnsi="Times New Roman"/>
          <w:sz w:val="20"/>
          <w:lang w:val="en-GB"/>
        </w:rPr>
      </w:pPr>
      <w:r w:rsidRPr="004635BA">
        <w:rPr>
          <w:rFonts w:ascii="Times New Roman" w:hAnsi="Times New Roman"/>
          <w:sz w:val="20"/>
          <w:lang w:val="en-GB"/>
        </w:rPr>
        <w:t>In their LS [2], RAN1 includes an extract of the WID [1] with RAN3 relevance:</w:t>
      </w:r>
    </w:p>
    <w:p w14:paraId="0B2F87BA" w14:textId="77777777" w:rsidR="00CE7E9A" w:rsidRDefault="00CE7E9A" w:rsidP="00CE7E9A">
      <w:pPr>
        <w:pStyle w:val="00BodyText"/>
        <w:spacing w:after="0"/>
        <w:rPr>
          <w:rFonts w:ascii="Times New Roman" w:hAnsi="Times New Roman"/>
          <w:sz w:val="20"/>
          <w:lang w:val="en-GB"/>
        </w:rPr>
      </w:pPr>
    </w:p>
    <w:p w14:paraId="60112951" w14:textId="77777777" w:rsidR="00CE7E9A" w:rsidRDefault="00CE7E9A" w:rsidP="00CE7E9A">
      <w:pPr>
        <w:numPr>
          <w:ilvl w:val="2"/>
          <w:numId w:val="5"/>
        </w:numPr>
        <w:tabs>
          <w:tab w:val="left" w:pos="720"/>
          <w:tab w:val="left" w:pos="144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Specify enhancements for CLI handling [RAN1, RAN2, RAN3, RAN4]</w:t>
      </w:r>
    </w:p>
    <w:p w14:paraId="0D6B01E3" w14:textId="77777777" w:rsidR="00CE7E9A" w:rsidRDefault="00CE7E9A" w:rsidP="00CE7E9A">
      <w:pPr>
        <w:numPr>
          <w:ilvl w:val="3"/>
          <w:numId w:val="5"/>
        </w:numPr>
        <w:tabs>
          <w:tab w:val="left" w:pos="720"/>
          <w:tab w:val="left" w:pos="1440"/>
          <w:tab w:val="left" w:pos="216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 xml:space="preserve">Information exchange among </w:t>
      </w:r>
      <w:proofErr w:type="spellStart"/>
      <w:r>
        <w:rPr>
          <w:rFonts w:eastAsia="Malgun Gothic"/>
          <w:color w:val="44546A"/>
          <w:sz w:val="16"/>
          <w:szCs w:val="16"/>
          <w:lang w:eastAsia="ko-KR"/>
        </w:rPr>
        <w:t>gNBs</w:t>
      </w:r>
      <w:proofErr w:type="spellEnd"/>
      <w:r>
        <w:rPr>
          <w:rFonts w:eastAsia="Malgun Gothic"/>
          <w:color w:val="44546A"/>
          <w:sz w:val="16"/>
          <w:szCs w:val="16"/>
          <w:lang w:eastAsia="ko-KR"/>
        </w:rPr>
        <w:t>, including [RAN3]</w:t>
      </w:r>
    </w:p>
    <w:p w14:paraId="5D3425CC" w14:textId="77777777" w:rsidR="00CE7E9A" w:rsidRDefault="00CE7E9A" w:rsidP="00CE7E9A">
      <w:pPr>
        <w:numPr>
          <w:ilvl w:val="4"/>
          <w:numId w:val="5"/>
        </w:numPr>
        <w:tabs>
          <w:tab w:val="left" w:pos="720"/>
          <w:tab w:val="left" w:pos="2160"/>
          <w:tab w:val="left" w:pos="288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 xml:space="preserve">Semi-static cell-specific SBFD time and frequency location configuration </w:t>
      </w:r>
    </w:p>
    <w:p w14:paraId="349AF620" w14:textId="77777777" w:rsidR="00CE7E9A" w:rsidRDefault="00CE7E9A" w:rsidP="00CE7E9A">
      <w:pPr>
        <w:numPr>
          <w:ilvl w:val="4"/>
          <w:numId w:val="5"/>
        </w:numPr>
        <w:tabs>
          <w:tab w:val="left" w:pos="720"/>
          <w:tab w:val="left" w:pos="2160"/>
          <w:tab w:val="left" w:pos="288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 xml:space="preserve">Measurement resource configuration, i.e., SSB and/or periodic NZP CSI-RS </w:t>
      </w:r>
    </w:p>
    <w:p w14:paraId="37E0FC7F" w14:textId="77777777" w:rsidR="00CE7E9A" w:rsidRDefault="00CE7E9A" w:rsidP="00CE7E9A">
      <w:pPr>
        <w:numPr>
          <w:ilvl w:val="4"/>
          <w:numId w:val="5"/>
        </w:numPr>
        <w:tabs>
          <w:tab w:val="left" w:pos="720"/>
          <w:tab w:val="left" w:pos="2160"/>
          <w:tab w:val="left" w:pos="288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Strongest DL beam information</w:t>
      </w:r>
    </w:p>
    <w:p w14:paraId="4D4369EE" w14:textId="77777777" w:rsidR="00CE7E9A" w:rsidRDefault="00CE7E9A" w:rsidP="00CE7E9A">
      <w:pPr>
        <w:numPr>
          <w:ilvl w:val="4"/>
          <w:numId w:val="5"/>
        </w:numPr>
        <w:tabs>
          <w:tab w:val="left" w:pos="720"/>
          <w:tab w:val="left" w:pos="2160"/>
          <w:tab w:val="left" w:pos="288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CLI-mitigation request</w:t>
      </w:r>
    </w:p>
    <w:p w14:paraId="2E43A87A" w14:textId="77777777" w:rsidR="00CE7E9A" w:rsidRDefault="00CE7E9A" w:rsidP="00CE7E9A">
      <w:pPr>
        <w:numPr>
          <w:ilvl w:val="3"/>
          <w:numId w:val="5"/>
        </w:numPr>
        <w:tabs>
          <w:tab w:val="left" w:pos="1440"/>
          <w:tab w:val="left" w:pos="216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w:t>
      </w:r>
    </w:p>
    <w:p w14:paraId="74A32210" w14:textId="77777777" w:rsidR="00CE7E9A" w:rsidRDefault="00CE7E9A" w:rsidP="00CE7E9A">
      <w:pPr>
        <w:numPr>
          <w:ilvl w:val="3"/>
          <w:numId w:val="5"/>
        </w:numPr>
        <w:tabs>
          <w:tab w:val="left" w:pos="216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 xml:space="preserve">Note: Without dedicated optimization for dynamic/flexible TDD. </w:t>
      </w:r>
    </w:p>
    <w:p w14:paraId="315EC689" w14:textId="77777777" w:rsidR="00CE7E9A" w:rsidRDefault="00CE7E9A" w:rsidP="00CE7E9A">
      <w:pPr>
        <w:numPr>
          <w:ilvl w:val="1"/>
          <w:numId w:val="5"/>
        </w:numPr>
        <w:tabs>
          <w:tab w:val="left" w:pos="72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w:t>
      </w:r>
    </w:p>
    <w:p w14:paraId="1BF34007" w14:textId="77777777" w:rsidR="00CE7E9A" w:rsidRDefault="00CE7E9A" w:rsidP="00CE7E9A">
      <w:pPr>
        <w:numPr>
          <w:ilvl w:val="1"/>
          <w:numId w:val="5"/>
        </w:numPr>
        <w:tabs>
          <w:tab w:val="left" w:pos="72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Note: RAN3 will not specify enhancements to network signalling to support inter-operator coordination for CLI handling</w:t>
      </w:r>
    </w:p>
    <w:p w14:paraId="5DEC003E" w14:textId="77777777" w:rsidR="00CE7E9A" w:rsidRDefault="00CE7E9A" w:rsidP="00CE7E9A">
      <w:pPr>
        <w:numPr>
          <w:ilvl w:val="1"/>
          <w:numId w:val="5"/>
        </w:numPr>
        <w:tabs>
          <w:tab w:val="left" w:pos="72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 xml:space="preserve">Notes: Following are assumed for information exchange among </w:t>
      </w:r>
      <w:proofErr w:type="spellStart"/>
      <w:r>
        <w:rPr>
          <w:rFonts w:eastAsia="Malgun Gothic"/>
          <w:color w:val="44546A"/>
          <w:sz w:val="16"/>
          <w:szCs w:val="16"/>
          <w:lang w:eastAsia="ko-KR"/>
        </w:rPr>
        <w:t>gNBs</w:t>
      </w:r>
      <w:proofErr w:type="spellEnd"/>
      <w:r>
        <w:rPr>
          <w:rFonts w:eastAsia="Malgun Gothic"/>
          <w:color w:val="44546A"/>
          <w:sz w:val="16"/>
          <w:szCs w:val="16"/>
          <w:lang w:eastAsia="ko-KR"/>
        </w:rPr>
        <w:t xml:space="preserve"> </w:t>
      </w:r>
    </w:p>
    <w:p w14:paraId="41D2311A" w14:textId="77777777" w:rsidR="00CE7E9A" w:rsidRDefault="00CE7E9A" w:rsidP="00CE7E9A">
      <w:pPr>
        <w:numPr>
          <w:ilvl w:val="2"/>
          <w:numId w:val="5"/>
        </w:numPr>
        <w:tabs>
          <w:tab w:val="left" w:pos="144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 xml:space="preserve">No normative </w:t>
      </w:r>
      <w:proofErr w:type="spellStart"/>
      <w:r>
        <w:rPr>
          <w:rFonts w:eastAsia="Malgun Gothic"/>
          <w:color w:val="44546A"/>
          <w:sz w:val="16"/>
          <w:szCs w:val="16"/>
          <w:lang w:eastAsia="ko-KR"/>
        </w:rPr>
        <w:t>behavior</w:t>
      </w:r>
      <w:proofErr w:type="spellEnd"/>
      <w:r>
        <w:rPr>
          <w:rFonts w:eastAsia="Malgun Gothic"/>
          <w:color w:val="44546A"/>
          <w:sz w:val="16"/>
          <w:szCs w:val="16"/>
          <w:lang w:eastAsia="ko-KR"/>
        </w:rPr>
        <w:t xml:space="preserve"> is implied for the gNB receiving the CLI-mitigation request. No need to further send a stop message for CLI mitigation. Detailed </w:t>
      </w:r>
      <w:proofErr w:type="spellStart"/>
      <w:r>
        <w:rPr>
          <w:rFonts w:eastAsia="Malgun Gothic"/>
          <w:color w:val="44546A"/>
          <w:sz w:val="16"/>
          <w:szCs w:val="16"/>
          <w:lang w:eastAsia="ko-KR"/>
        </w:rPr>
        <w:t>signaling</w:t>
      </w:r>
      <w:proofErr w:type="spellEnd"/>
      <w:r>
        <w:rPr>
          <w:rFonts w:eastAsia="Malgun Gothic"/>
          <w:color w:val="44546A"/>
          <w:sz w:val="16"/>
          <w:szCs w:val="16"/>
          <w:lang w:eastAsia="ko-KR"/>
        </w:rPr>
        <w:t xml:space="preserve"> can be discussed in RAN3</w:t>
      </w:r>
    </w:p>
    <w:p w14:paraId="37B27F79" w14:textId="77777777" w:rsidR="00CE7E9A" w:rsidRDefault="00CE7E9A" w:rsidP="00CE7E9A">
      <w:pPr>
        <w:numPr>
          <w:ilvl w:val="2"/>
          <w:numId w:val="5"/>
        </w:numPr>
        <w:tabs>
          <w:tab w:val="left" w:pos="1440"/>
        </w:tabs>
        <w:overflowPunct w:val="0"/>
        <w:autoSpaceDE w:val="0"/>
        <w:autoSpaceDN w:val="0"/>
        <w:adjustRightInd w:val="0"/>
        <w:spacing w:after="0" w:line="257" w:lineRule="auto"/>
        <w:ind w:right="-101"/>
        <w:textAlignment w:val="baseline"/>
        <w:rPr>
          <w:rFonts w:eastAsia="Malgun Gothic"/>
          <w:color w:val="44546A"/>
          <w:sz w:val="16"/>
          <w:szCs w:val="16"/>
          <w:lang w:eastAsia="ko-KR"/>
        </w:rPr>
      </w:pPr>
      <w:r>
        <w:rPr>
          <w:rFonts w:eastAsia="Malgun Gothic"/>
          <w:color w:val="44546A"/>
          <w:sz w:val="16"/>
          <w:szCs w:val="16"/>
          <w:lang w:eastAsia="ko-KR"/>
        </w:rPr>
        <w:t>The information exchanges are subject to RAN3’s assessment of feasibility and specification impact</w:t>
      </w:r>
    </w:p>
    <w:p w14:paraId="5947717B" w14:textId="77777777" w:rsidR="00CE7E9A" w:rsidRDefault="00CE7E9A" w:rsidP="00CE7E9A">
      <w:pPr>
        <w:pStyle w:val="00BodyText"/>
        <w:spacing w:after="0"/>
        <w:rPr>
          <w:rFonts w:ascii="Times New Roman" w:hAnsi="Times New Roman"/>
          <w:sz w:val="20"/>
          <w:lang w:val="en-GB"/>
        </w:rPr>
      </w:pPr>
    </w:p>
    <w:p w14:paraId="3B6A21B5" w14:textId="77777777" w:rsidR="00CE7E9A" w:rsidRDefault="00CE7E9A" w:rsidP="00CE7E9A">
      <w:pPr>
        <w:pStyle w:val="00BodyText"/>
        <w:spacing w:after="0"/>
        <w:rPr>
          <w:rFonts w:ascii="Times New Roman" w:hAnsi="Times New Roman"/>
          <w:sz w:val="20"/>
          <w:lang w:val="en-GB"/>
        </w:rPr>
      </w:pPr>
    </w:p>
    <w:p w14:paraId="447B7BC5" w14:textId="076F4E4F" w:rsidR="00CE7E9A" w:rsidRDefault="00CE7E9A" w:rsidP="00CE7E9A">
      <w:pPr>
        <w:pStyle w:val="00BodyText"/>
        <w:spacing w:after="0"/>
        <w:rPr>
          <w:rFonts w:ascii="Times New Roman" w:hAnsi="Times New Roman"/>
          <w:sz w:val="20"/>
          <w:lang w:val="en-GB"/>
        </w:rPr>
      </w:pPr>
      <w:r>
        <w:rPr>
          <w:rFonts w:ascii="Times New Roman" w:hAnsi="Times New Roman"/>
          <w:sz w:val="20"/>
          <w:lang w:val="en-GB"/>
        </w:rPr>
        <w:t xml:space="preserve">RAN1 also provides in their LS their agreements in clarification of the RAN3 part of the work item description, and below we also provide our related views. </w:t>
      </w:r>
    </w:p>
    <w:p w14:paraId="640CE8FF" w14:textId="77777777" w:rsidR="00CE7E9A" w:rsidRDefault="00CE7E9A" w:rsidP="00CE7E9A">
      <w:pPr>
        <w:pStyle w:val="00BodyText"/>
        <w:spacing w:after="0"/>
        <w:rPr>
          <w:rFonts w:ascii="Times New Roman" w:hAnsi="Times New Roman"/>
          <w:sz w:val="20"/>
          <w:lang w:val="en-GB"/>
        </w:rPr>
      </w:pPr>
    </w:p>
    <w:p w14:paraId="3E6A9283" w14:textId="38AE873A" w:rsidR="00CE7E9A" w:rsidRDefault="00CE7E9A" w:rsidP="00CE7E9A">
      <w:pPr>
        <w:pStyle w:val="00BodyText"/>
        <w:spacing w:after="0"/>
        <w:rPr>
          <w:rFonts w:ascii="Times New Roman" w:hAnsi="Times New Roman"/>
          <w:sz w:val="20"/>
          <w:lang w:val="en-GB"/>
        </w:rPr>
      </w:pPr>
      <w:r>
        <w:rPr>
          <w:rFonts w:ascii="Times New Roman" w:hAnsi="Times New Roman"/>
          <w:sz w:val="20"/>
          <w:lang w:val="en-GB"/>
        </w:rPr>
        <w:t xml:space="preserve">According to the WID, measurement resource configuration for gNB-to-gNB CLI includes SSBs and/or </w:t>
      </w:r>
      <w:r w:rsidRPr="000052A3">
        <w:rPr>
          <w:rFonts w:ascii="Times New Roman" w:hAnsi="Times New Roman"/>
          <w:sz w:val="20"/>
          <w:lang w:val="en-GB"/>
        </w:rPr>
        <w:t>periodic NZP CSI-RS</w:t>
      </w:r>
      <w:r>
        <w:rPr>
          <w:rFonts w:ascii="Times New Roman" w:hAnsi="Times New Roman"/>
          <w:sz w:val="20"/>
          <w:lang w:val="en-GB"/>
        </w:rPr>
        <w:t>.</w:t>
      </w:r>
    </w:p>
    <w:p w14:paraId="382EFD72" w14:textId="77777777" w:rsidR="00CE7E9A" w:rsidRDefault="00CE7E9A" w:rsidP="00CE7E9A">
      <w:pPr>
        <w:pStyle w:val="00BodyText"/>
        <w:spacing w:after="0"/>
        <w:rPr>
          <w:rFonts w:ascii="Times New Roman" w:hAnsi="Times New Roman"/>
          <w:sz w:val="20"/>
          <w:lang w:val="en-GB"/>
        </w:rPr>
      </w:pPr>
    </w:p>
    <w:p w14:paraId="77AAE0F2" w14:textId="4B79FCC4" w:rsidR="00CE7E9A" w:rsidRPr="000052A3" w:rsidRDefault="00CE7E9A" w:rsidP="00CE7E9A">
      <w:pPr>
        <w:pStyle w:val="00BodyText"/>
        <w:spacing w:after="0"/>
        <w:rPr>
          <w:rFonts w:ascii="Times New Roman" w:hAnsi="Times New Roman"/>
          <w:sz w:val="20"/>
          <w:u w:val="single"/>
          <w:lang w:val="en-GB"/>
        </w:rPr>
      </w:pPr>
      <w:r w:rsidRPr="000052A3">
        <w:rPr>
          <w:rFonts w:ascii="Times New Roman" w:hAnsi="Times New Roman"/>
          <w:sz w:val="20"/>
          <w:u w:val="single"/>
          <w:lang w:val="en-GB"/>
        </w:rPr>
        <w:t>Concerning NZP CSI-RS configuration, RAN1 indicates:</w:t>
      </w:r>
    </w:p>
    <w:p w14:paraId="4B832D42" w14:textId="77777777" w:rsidR="00CE7E9A" w:rsidRDefault="00CE7E9A" w:rsidP="00CE7E9A">
      <w:pPr>
        <w:pStyle w:val="00BodyText"/>
        <w:spacing w:after="0"/>
        <w:rPr>
          <w:rFonts w:ascii="Times New Roman" w:hAnsi="Times New Roman"/>
          <w:sz w:val="20"/>
          <w:lang w:val="en-GB"/>
        </w:rPr>
      </w:pPr>
    </w:p>
    <w:p w14:paraId="2E4A7058" w14:textId="20C41D51" w:rsidR="00CE7E9A" w:rsidRDefault="00CE7E9A" w:rsidP="00CE7E9A">
      <w:pPr>
        <w:spacing w:after="0"/>
        <w:ind w:left="720"/>
        <w:rPr>
          <w:rFonts w:ascii="Times" w:eastAsia="Batang" w:hAnsi="Times"/>
          <w:color w:val="44546A"/>
          <w:sz w:val="18"/>
          <w:szCs w:val="22"/>
        </w:rPr>
      </w:pPr>
      <w:r>
        <w:rPr>
          <w:rFonts w:ascii="Times" w:eastAsia="Batang" w:hAnsi="Times"/>
          <w:color w:val="44546A"/>
          <w:sz w:val="18"/>
          <w:szCs w:val="22"/>
        </w:rPr>
        <w:t xml:space="preserve">“From RAN1 perspective, exchange among </w:t>
      </w:r>
      <w:proofErr w:type="spellStart"/>
      <w:r>
        <w:rPr>
          <w:rFonts w:ascii="Times" w:eastAsia="Batang" w:hAnsi="Times"/>
          <w:color w:val="44546A"/>
          <w:sz w:val="18"/>
          <w:szCs w:val="22"/>
        </w:rPr>
        <w:t>gNBs</w:t>
      </w:r>
      <w:proofErr w:type="spellEnd"/>
      <w:r>
        <w:rPr>
          <w:rFonts w:ascii="Times" w:eastAsia="Batang" w:hAnsi="Times"/>
          <w:color w:val="44546A"/>
          <w:sz w:val="18"/>
          <w:szCs w:val="22"/>
        </w:rPr>
        <w:t xml:space="preserve"> of the configuration info for a set of one or more periodic NZP CSI-RS resources (relevant IE in 38.331 are </w:t>
      </w:r>
      <w:r>
        <w:rPr>
          <w:rFonts w:ascii="Times" w:eastAsia="Batang" w:hAnsi="Times"/>
          <w:i/>
          <w:color w:val="44546A"/>
          <w:sz w:val="18"/>
          <w:szCs w:val="22"/>
        </w:rPr>
        <w:t>NZP-CSI-RS-Resource, NZP-CSI-RS-</w:t>
      </w:r>
      <w:proofErr w:type="spellStart"/>
      <w:r>
        <w:rPr>
          <w:rFonts w:ascii="Times" w:eastAsia="Batang" w:hAnsi="Times"/>
          <w:i/>
          <w:color w:val="44546A"/>
          <w:sz w:val="18"/>
          <w:szCs w:val="22"/>
        </w:rPr>
        <w:t>ResourceSet</w:t>
      </w:r>
      <w:proofErr w:type="spellEnd"/>
      <w:r>
        <w:rPr>
          <w:rFonts w:ascii="Times" w:eastAsia="Batang" w:hAnsi="Times"/>
          <w:color w:val="44546A"/>
          <w:sz w:val="18"/>
          <w:szCs w:val="22"/>
        </w:rPr>
        <w:t>) is supported.”</w:t>
      </w:r>
    </w:p>
    <w:p w14:paraId="08CAF50F" w14:textId="77777777" w:rsidR="00CE7E9A" w:rsidRDefault="00CE7E9A" w:rsidP="00CE7E9A">
      <w:pPr>
        <w:pStyle w:val="00BodyText"/>
        <w:spacing w:after="0"/>
        <w:rPr>
          <w:rFonts w:ascii="Times New Roman" w:hAnsi="Times New Roman"/>
          <w:sz w:val="20"/>
          <w:lang w:val="en-GB"/>
        </w:rPr>
      </w:pPr>
    </w:p>
    <w:p w14:paraId="486E75E8" w14:textId="282F2DF9" w:rsidR="00CE7E9A" w:rsidRDefault="00CE7E9A" w:rsidP="00CE7E9A">
      <w:pPr>
        <w:pStyle w:val="00BodyText"/>
        <w:spacing w:after="0"/>
        <w:rPr>
          <w:rFonts w:ascii="Times New Roman" w:hAnsi="Times New Roman"/>
          <w:sz w:val="20"/>
          <w:lang w:val="en-GB"/>
        </w:rPr>
      </w:pPr>
      <w:r>
        <w:rPr>
          <w:rFonts w:ascii="Times New Roman" w:hAnsi="Times New Roman"/>
          <w:sz w:val="20"/>
          <w:lang w:val="en-GB"/>
        </w:rPr>
        <w:t xml:space="preserve">The purpose of the exchanged information described by RAN1 is to allow </w:t>
      </w:r>
      <w:proofErr w:type="spellStart"/>
      <w:r w:rsidRPr="0038464C">
        <w:rPr>
          <w:rFonts w:ascii="Times New Roman" w:hAnsi="Times New Roman"/>
          <w:sz w:val="20"/>
          <w:lang w:val="en-GB"/>
        </w:rPr>
        <w:t>gNBs</w:t>
      </w:r>
      <w:proofErr w:type="spellEnd"/>
      <w:r w:rsidRPr="0038464C">
        <w:rPr>
          <w:rFonts w:ascii="Times New Roman" w:hAnsi="Times New Roman"/>
          <w:sz w:val="20"/>
          <w:lang w:val="en-GB"/>
        </w:rPr>
        <w:t xml:space="preserve"> </w:t>
      </w:r>
      <w:r>
        <w:rPr>
          <w:rFonts w:ascii="Times New Roman" w:hAnsi="Times New Roman"/>
          <w:sz w:val="20"/>
          <w:lang w:val="en-GB"/>
        </w:rPr>
        <w:t>to use CSI-RS to perform:</w:t>
      </w:r>
    </w:p>
    <w:p w14:paraId="7613AA25" w14:textId="706ABB2A" w:rsidR="00CE7E9A" w:rsidRDefault="00CA12DE" w:rsidP="00CE7E9A">
      <w:pPr>
        <w:pStyle w:val="00BodyText"/>
        <w:numPr>
          <w:ilvl w:val="0"/>
          <w:numId w:val="6"/>
        </w:numPr>
        <w:spacing w:after="0"/>
        <w:rPr>
          <w:rFonts w:ascii="Times New Roman" w:hAnsi="Times New Roman"/>
          <w:sz w:val="20"/>
          <w:lang w:val="en-GB"/>
        </w:rPr>
      </w:pPr>
      <w:r>
        <w:rPr>
          <w:rFonts w:ascii="Times New Roman" w:hAnsi="Times New Roman"/>
          <w:sz w:val="20"/>
          <w:lang w:val="en-GB"/>
        </w:rPr>
        <w:t>P</w:t>
      </w:r>
      <w:r w:rsidR="00C80E96" w:rsidRPr="0038464C">
        <w:rPr>
          <w:rFonts w:ascii="Times New Roman" w:hAnsi="Times New Roman"/>
          <w:sz w:val="20"/>
          <w:lang w:val="en-GB"/>
        </w:rPr>
        <w:t>ower</w:t>
      </w:r>
      <w:r w:rsidR="00CE7E9A" w:rsidRPr="0038464C">
        <w:rPr>
          <w:rFonts w:ascii="Times New Roman" w:hAnsi="Times New Roman"/>
          <w:sz w:val="20"/>
          <w:lang w:val="en-GB"/>
        </w:rPr>
        <w:t xml:space="preserve"> </w:t>
      </w:r>
      <w:r w:rsidR="00CE7E9A">
        <w:rPr>
          <w:rFonts w:ascii="Times New Roman" w:hAnsi="Times New Roman"/>
          <w:sz w:val="20"/>
          <w:lang w:val="en-GB"/>
        </w:rPr>
        <w:t xml:space="preserve">measurements </w:t>
      </w:r>
      <w:r w:rsidR="00CE7E9A" w:rsidRPr="0038464C">
        <w:rPr>
          <w:rFonts w:ascii="Times New Roman" w:hAnsi="Times New Roman"/>
          <w:sz w:val="20"/>
          <w:lang w:val="en-GB"/>
        </w:rPr>
        <w:t xml:space="preserve">for aggressor </w:t>
      </w:r>
      <w:r>
        <w:rPr>
          <w:rFonts w:ascii="Times New Roman" w:hAnsi="Times New Roman"/>
          <w:sz w:val="20"/>
          <w:lang w:val="en-GB"/>
        </w:rPr>
        <w:t xml:space="preserve">gNB </w:t>
      </w:r>
      <w:r w:rsidR="00CE7E9A" w:rsidRPr="0038464C">
        <w:rPr>
          <w:rFonts w:ascii="Times New Roman" w:hAnsi="Times New Roman"/>
          <w:sz w:val="20"/>
          <w:lang w:val="en-GB"/>
        </w:rPr>
        <w:t xml:space="preserve">identification and/or </w:t>
      </w:r>
      <w:r w:rsidR="00CE7E9A" w:rsidRPr="004635BA">
        <w:rPr>
          <w:rFonts w:ascii="Times New Roman" w:hAnsi="Times New Roman"/>
          <w:sz w:val="20"/>
          <w:lang w:val="en-GB"/>
        </w:rPr>
        <w:t xml:space="preserve">beam </w:t>
      </w:r>
      <w:r w:rsidR="00151E85">
        <w:rPr>
          <w:rFonts w:ascii="Times New Roman" w:hAnsi="Times New Roman"/>
          <w:sz w:val="20"/>
          <w:lang w:val="en-GB"/>
        </w:rPr>
        <w:t>pairing</w:t>
      </w:r>
    </w:p>
    <w:p w14:paraId="391FD6AF" w14:textId="499B35F7" w:rsidR="00CE7E9A" w:rsidRDefault="00CA12DE" w:rsidP="00CE7E9A">
      <w:pPr>
        <w:pStyle w:val="00BodyText"/>
        <w:numPr>
          <w:ilvl w:val="0"/>
          <w:numId w:val="6"/>
        </w:numPr>
        <w:spacing w:after="0"/>
        <w:rPr>
          <w:rFonts w:ascii="Times New Roman" w:hAnsi="Times New Roman"/>
          <w:sz w:val="20"/>
          <w:lang w:val="en-GB"/>
        </w:rPr>
      </w:pPr>
      <w:r>
        <w:rPr>
          <w:rFonts w:ascii="Times New Roman" w:hAnsi="Times New Roman"/>
          <w:sz w:val="20"/>
          <w:lang w:val="en-GB"/>
        </w:rPr>
        <w:t>C</w:t>
      </w:r>
      <w:r w:rsidR="00CE7E9A" w:rsidRPr="0038464C">
        <w:rPr>
          <w:rFonts w:ascii="Times New Roman" w:hAnsi="Times New Roman"/>
          <w:sz w:val="20"/>
          <w:lang w:val="en-GB"/>
        </w:rPr>
        <w:t>hannel measurements for beam nulling</w:t>
      </w:r>
    </w:p>
    <w:p w14:paraId="7AF6F724" w14:textId="77777777" w:rsidR="00CE7E9A" w:rsidRDefault="00CE7E9A" w:rsidP="00CE7E9A">
      <w:pPr>
        <w:pStyle w:val="00BodyText"/>
        <w:spacing w:after="0"/>
        <w:rPr>
          <w:rFonts w:ascii="Times New Roman" w:hAnsi="Times New Roman"/>
          <w:sz w:val="20"/>
          <w:lang w:val="en-GB"/>
        </w:rPr>
      </w:pPr>
    </w:p>
    <w:p w14:paraId="54916148" w14:textId="11E851AC" w:rsidR="00CE7E9A" w:rsidRDefault="00CE7E9A" w:rsidP="00CE7E9A">
      <w:pPr>
        <w:pStyle w:val="00BodyText"/>
        <w:spacing w:after="0"/>
        <w:rPr>
          <w:rFonts w:ascii="Times New Roman" w:hAnsi="Times New Roman"/>
          <w:sz w:val="20"/>
          <w:lang w:val="en-GB"/>
        </w:rPr>
      </w:pPr>
      <w:r>
        <w:rPr>
          <w:rFonts w:ascii="Times New Roman" w:hAnsi="Times New Roman"/>
          <w:sz w:val="20"/>
          <w:lang w:val="en-GB"/>
        </w:rPr>
        <w:t>For these reasons</w:t>
      </w:r>
      <w:r w:rsidR="0012692D">
        <w:rPr>
          <w:rFonts w:ascii="Times New Roman" w:hAnsi="Times New Roman"/>
          <w:sz w:val="20"/>
          <w:lang w:val="en-GB"/>
        </w:rPr>
        <w:t>,</w:t>
      </w:r>
      <w:r>
        <w:rPr>
          <w:rFonts w:ascii="Times New Roman" w:hAnsi="Times New Roman"/>
          <w:sz w:val="20"/>
          <w:lang w:val="en-GB"/>
        </w:rPr>
        <w:t xml:space="preserve"> the </w:t>
      </w:r>
      <w:r w:rsidRPr="00BE45ED">
        <w:rPr>
          <w:rFonts w:ascii="Times New Roman" w:hAnsi="Times New Roman"/>
          <w:sz w:val="20"/>
          <w:lang w:val="en-GB"/>
        </w:rPr>
        <w:t xml:space="preserve">gNB </w:t>
      </w:r>
      <w:r>
        <w:rPr>
          <w:rFonts w:ascii="Times New Roman" w:hAnsi="Times New Roman"/>
          <w:sz w:val="20"/>
          <w:lang w:val="en-GB"/>
        </w:rPr>
        <w:t>that performs the measurements</w:t>
      </w:r>
      <w:r w:rsidRPr="00BE45ED">
        <w:rPr>
          <w:rFonts w:ascii="Times New Roman" w:hAnsi="Times New Roman"/>
          <w:sz w:val="20"/>
          <w:lang w:val="en-GB"/>
        </w:rPr>
        <w:t xml:space="preserve"> must be aware of the CSI-RS configuration </w:t>
      </w:r>
      <w:r>
        <w:rPr>
          <w:rFonts w:ascii="Times New Roman" w:hAnsi="Times New Roman"/>
          <w:sz w:val="20"/>
          <w:lang w:val="en-GB"/>
        </w:rPr>
        <w:t>used by</w:t>
      </w:r>
      <w:r w:rsidRPr="00BE45ED">
        <w:rPr>
          <w:rFonts w:ascii="Times New Roman" w:hAnsi="Times New Roman"/>
          <w:sz w:val="20"/>
          <w:lang w:val="en-GB"/>
        </w:rPr>
        <w:t xml:space="preserve"> </w:t>
      </w:r>
      <w:r w:rsidR="007C41D8">
        <w:rPr>
          <w:rFonts w:ascii="Times New Roman" w:hAnsi="Times New Roman"/>
          <w:sz w:val="20"/>
          <w:lang w:val="en-GB"/>
        </w:rPr>
        <w:t xml:space="preserve">the </w:t>
      </w:r>
      <w:r w:rsidRPr="00BE45ED">
        <w:rPr>
          <w:rFonts w:ascii="Times New Roman" w:hAnsi="Times New Roman"/>
          <w:sz w:val="20"/>
          <w:lang w:val="en-GB"/>
        </w:rPr>
        <w:t xml:space="preserve">potential </w:t>
      </w:r>
      <w:r w:rsidR="007C41D8">
        <w:rPr>
          <w:rFonts w:ascii="Times New Roman" w:hAnsi="Times New Roman"/>
          <w:sz w:val="20"/>
          <w:lang w:val="en-GB"/>
        </w:rPr>
        <w:t xml:space="preserve">victim </w:t>
      </w:r>
      <w:r w:rsidR="00A6204F">
        <w:rPr>
          <w:rFonts w:ascii="Times New Roman" w:hAnsi="Times New Roman"/>
          <w:sz w:val="20"/>
          <w:lang w:val="en-GB"/>
        </w:rPr>
        <w:t xml:space="preserve">or </w:t>
      </w:r>
      <w:r w:rsidRPr="00BE45ED">
        <w:rPr>
          <w:rFonts w:ascii="Times New Roman" w:hAnsi="Times New Roman"/>
          <w:sz w:val="20"/>
          <w:lang w:val="en-GB"/>
        </w:rPr>
        <w:t xml:space="preserve">aggressor </w:t>
      </w:r>
      <w:proofErr w:type="spellStart"/>
      <w:r w:rsidRPr="00BE45ED">
        <w:rPr>
          <w:rFonts w:ascii="Times New Roman" w:hAnsi="Times New Roman"/>
          <w:sz w:val="20"/>
          <w:lang w:val="en-GB"/>
        </w:rPr>
        <w:t>gNB</w:t>
      </w:r>
      <w:r>
        <w:rPr>
          <w:rFonts w:ascii="Times New Roman" w:hAnsi="Times New Roman"/>
          <w:sz w:val="20"/>
          <w:lang w:val="en-GB"/>
        </w:rPr>
        <w:t>s</w:t>
      </w:r>
      <w:proofErr w:type="spellEnd"/>
      <w:r>
        <w:rPr>
          <w:rFonts w:ascii="Times New Roman" w:hAnsi="Times New Roman"/>
          <w:sz w:val="20"/>
          <w:lang w:val="en-GB"/>
        </w:rPr>
        <w:t xml:space="preserve">. </w:t>
      </w:r>
      <w:r w:rsidRPr="00BE45ED">
        <w:rPr>
          <w:rFonts w:ascii="Times New Roman" w:hAnsi="Times New Roman"/>
          <w:sz w:val="20"/>
          <w:lang w:val="en-GB"/>
        </w:rPr>
        <w:t xml:space="preserve">Currently </w:t>
      </w:r>
      <w:proofErr w:type="spellStart"/>
      <w:r w:rsidRPr="00BE45ED">
        <w:rPr>
          <w:rFonts w:ascii="Times New Roman" w:hAnsi="Times New Roman"/>
          <w:sz w:val="20"/>
          <w:lang w:val="en-GB"/>
        </w:rPr>
        <w:t>Xn</w:t>
      </w:r>
      <w:proofErr w:type="spellEnd"/>
      <w:r w:rsidRPr="00BE45ED">
        <w:rPr>
          <w:rFonts w:ascii="Times New Roman" w:hAnsi="Times New Roman"/>
          <w:sz w:val="20"/>
          <w:lang w:val="en-GB"/>
        </w:rPr>
        <w:t xml:space="preserve"> interface supports the exchange of CSI-RS for UE mobility purposes but there are certain limitations: single port CSI-RS, “no-CDM”</w:t>
      </w:r>
      <w:r>
        <w:rPr>
          <w:rFonts w:ascii="Times New Roman" w:hAnsi="Times New Roman"/>
          <w:sz w:val="20"/>
          <w:lang w:val="en-GB"/>
        </w:rPr>
        <w:t xml:space="preserve">.  The existing information </w:t>
      </w:r>
      <w:r w:rsidRPr="00BE45ED">
        <w:rPr>
          <w:rFonts w:ascii="Times New Roman" w:hAnsi="Times New Roman"/>
          <w:sz w:val="20"/>
          <w:lang w:val="en-GB"/>
        </w:rPr>
        <w:t xml:space="preserve">could be enough to perform RSRP measurements at the gNB for aggressor </w:t>
      </w:r>
      <w:r w:rsidR="00E14D20">
        <w:rPr>
          <w:rFonts w:ascii="Times New Roman" w:hAnsi="Times New Roman"/>
          <w:sz w:val="20"/>
          <w:lang w:val="en-GB"/>
        </w:rPr>
        <w:t>gNB</w:t>
      </w:r>
      <w:r w:rsidR="00C80E96" w:rsidRPr="00BE45ED">
        <w:rPr>
          <w:rFonts w:ascii="Times New Roman" w:hAnsi="Times New Roman"/>
          <w:sz w:val="20"/>
          <w:lang w:val="en-GB"/>
        </w:rPr>
        <w:t xml:space="preserve"> </w:t>
      </w:r>
      <w:r w:rsidRPr="00BE45ED">
        <w:rPr>
          <w:rFonts w:ascii="Times New Roman" w:hAnsi="Times New Roman"/>
          <w:sz w:val="20"/>
          <w:lang w:val="en-GB"/>
        </w:rPr>
        <w:t>identification, but not for channel measurements.</w:t>
      </w:r>
      <w:r>
        <w:rPr>
          <w:rFonts w:ascii="Times New Roman" w:hAnsi="Times New Roman"/>
          <w:sz w:val="20"/>
          <w:lang w:val="en-GB"/>
        </w:rPr>
        <w:t xml:space="preserve"> It therefore seems needed to support exchange of</w:t>
      </w:r>
      <w:r w:rsidRPr="00BE45ED">
        <w:rPr>
          <w:rFonts w:ascii="Times New Roman" w:hAnsi="Times New Roman"/>
          <w:sz w:val="20"/>
          <w:lang w:val="en-GB"/>
        </w:rPr>
        <w:t xml:space="preserve"> similar </w:t>
      </w:r>
      <w:r>
        <w:rPr>
          <w:rFonts w:ascii="Times New Roman" w:hAnsi="Times New Roman"/>
          <w:sz w:val="20"/>
          <w:lang w:val="en-GB"/>
        </w:rPr>
        <w:t xml:space="preserve">NZP-CSI-RS resource set </w:t>
      </w:r>
      <w:r w:rsidRPr="00BE45ED">
        <w:rPr>
          <w:rFonts w:ascii="Times New Roman" w:hAnsi="Times New Roman"/>
          <w:sz w:val="20"/>
          <w:lang w:val="en-GB"/>
        </w:rPr>
        <w:t xml:space="preserve">information </w:t>
      </w:r>
      <w:r>
        <w:rPr>
          <w:rFonts w:ascii="Times New Roman" w:hAnsi="Times New Roman"/>
          <w:sz w:val="20"/>
          <w:lang w:val="en-GB"/>
        </w:rPr>
        <w:t xml:space="preserve">over the </w:t>
      </w:r>
      <w:proofErr w:type="spellStart"/>
      <w:r>
        <w:rPr>
          <w:rFonts w:ascii="Times New Roman" w:hAnsi="Times New Roman"/>
          <w:sz w:val="20"/>
          <w:lang w:val="en-GB"/>
        </w:rPr>
        <w:t>Xn</w:t>
      </w:r>
      <w:proofErr w:type="spellEnd"/>
      <w:r>
        <w:rPr>
          <w:rFonts w:ascii="Times New Roman" w:hAnsi="Times New Roman"/>
          <w:sz w:val="20"/>
          <w:lang w:val="en-GB"/>
        </w:rPr>
        <w:t xml:space="preserve"> interface </w:t>
      </w:r>
      <w:r w:rsidRPr="00BE45ED">
        <w:rPr>
          <w:rFonts w:ascii="Times New Roman" w:hAnsi="Times New Roman"/>
          <w:sz w:val="20"/>
          <w:lang w:val="en-GB"/>
        </w:rPr>
        <w:t>as the one used at the UE to perform CSI measurements for the gNB</w:t>
      </w:r>
      <w:r>
        <w:rPr>
          <w:rFonts w:ascii="Times New Roman" w:hAnsi="Times New Roman"/>
          <w:sz w:val="20"/>
          <w:lang w:val="en-GB"/>
        </w:rPr>
        <w:t>, specifically for beam nulling purposes.</w:t>
      </w:r>
    </w:p>
    <w:p w14:paraId="37E39495" w14:textId="77777777" w:rsidR="00CE7E9A" w:rsidRDefault="00CE7E9A" w:rsidP="00CE7E9A">
      <w:pPr>
        <w:pStyle w:val="00BodyText"/>
        <w:spacing w:after="0"/>
        <w:rPr>
          <w:rFonts w:ascii="Times New Roman" w:hAnsi="Times New Roman"/>
          <w:sz w:val="20"/>
          <w:lang w:val="en-GB"/>
        </w:rPr>
      </w:pPr>
    </w:p>
    <w:p w14:paraId="1286470E" w14:textId="4DAAFCB2" w:rsidR="00CE7E9A" w:rsidRPr="004740B7" w:rsidRDefault="00CE7E9A" w:rsidP="00CE7E9A">
      <w:pPr>
        <w:pStyle w:val="00BodyText"/>
        <w:spacing w:after="0"/>
        <w:rPr>
          <w:rFonts w:ascii="Times New Roman" w:hAnsi="Times New Roman"/>
          <w:sz w:val="20"/>
          <w:lang w:val="en-GB"/>
        </w:rPr>
      </w:pPr>
      <w:r w:rsidRPr="004740B7">
        <w:rPr>
          <w:rFonts w:ascii="Times New Roman" w:hAnsi="Times New Roman"/>
          <w:sz w:val="20"/>
          <w:lang w:val="en-GB"/>
        </w:rPr>
        <w:t>Furthermore, RAN1 indicates:</w:t>
      </w:r>
    </w:p>
    <w:p w14:paraId="791DDCD6" w14:textId="2A444770" w:rsidR="00CE7E9A" w:rsidRDefault="00CE7E9A" w:rsidP="00CE7E9A">
      <w:pPr>
        <w:spacing w:after="0"/>
        <w:ind w:left="720"/>
        <w:rPr>
          <w:rFonts w:ascii="Times" w:eastAsia="Batang" w:hAnsi="Times"/>
          <w:color w:val="44546A"/>
          <w:sz w:val="18"/>
          <w:szCs w:val="22"/>
        </w:rPr>
      </w:pPr>
      <w:r>
        <w:rPr>
          <w:rFonts w:ascii="Times" w:eastAsia="Batang" w:hAnsi="Times"/>
          <w:color w:val="44546A"/>
          <w:sz w:val="18"/>
          <w:szCs w:val="22"/>
        </w:rPr>
        <w:t>“Strongest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0FA647D1" w14:textId="77777777" w:rsidR="00CE7E9A" w:rsidRPr="004740B7" w:rsidRDefault="00CE7E9A" w:rsidP="00CE7E9A">
      <w:pPr>
        <w:pStyle w:val="00BodyText"/>
        <w:spacing w:after="0"/>
        <w:rPr>
          <w:rFonts w:ascii="Times New Roman" w:hAnsi="Times New Roman"/>
          <w:sz w:val="20"/>
          <w:lang w:val="en-GB"/>
        </w:rPr>
      </w:pPr>
    </w:p>
    <w:p w14:paraId="038B56D0" w14:textId="5299BA3D" w:rsidR="00CE7E9A" w:rsidRDefault="00CE7E9A" w:rsidP="00CE7E9A">
      <w:pPr>
        <w:pStyle w:val="NormalWeb"/>
        <w:spacing w:before="0" w:beforeAutospacing="0" w:after="60" w:afterAutospacing="0"/>
        <w:rPr>
          <w:kern w:val="24"/>
          <w:sz w:val="20"/>
          <w:szCs w:val="20"/>
        </w:rPr>
      </w:pPr>
      <w:r w:rsidRPr="004740B7">
        <w:rPr>
          <w:kern w:val="24"/>
          <w:sz w:val="20"/>
          <w:szCs w:val="20"/>
        </w:rPr>
        <w:t xml:space="preserve">For </w:t>
      </w:r>
      <w:r w:rsidRPr="004635BA">
        <w:rPr>
          <w:kern w:val="24"/>
          <w:sz w:val="20"/>
          <w:szCs w:val="20"/>
        </w:rPr>
        <w:t>beam pairing</w:t>
      </w:r>
      <w:r w:rsidRPr="004740B7">
        <w:rPr>
          <w:kern w:val="24"/>
          <w:sz w:val="20"/>
          <w:szCs w:val="20"/>
        </w:rPr>
        <w:t xml:space="preserve">, as a result of the measurements, the measuring </w:t>
      </w:r>
      <w:r>
        <w:rPr>
          <w:kern w:val="24"/>
          <w:sz w:val="20"/>
          <w:szCs w:val="20"/>
        </w:rPr>
        <w:t xml:space="preserve">(victim) </w:t>
      </w:r>
      <w:r w:rsidRPr="004740B7">
        <w:rPr>
          <w:kern w:val="24"/>
          <w:sz w:val="20"/>
          <w:szCs w:val="20"/>
        </w:rPr>
        <w:t xml:space="preserve">gNB should inform about which beams created the highest gNB-to-gNB CLI (this is our interpretation of “strongest”). </w:t>
      </w:r>
      <w:r>
        <w:rPr>
          <w:kern w:val="24"/>
          <w:sz w:val="20"/>
          <w:szCs w:val="20"/>
        </w:rPr>
        <w:t xml:space="preserve">The </w:t>
      </w:r>
      <w:r w:rsidRPr="004740B7">
        <w:rPr>
          <w:kern w:val="24"/>
          <w:sz w:val="20"/>
          <w:szCs w:val="20"/>
        </w:rPr>
        <w:t xml:space="preserve">CSI-RS Resource Indicator </w:t>
      </w:r>
      <w:r>
        <w:rPr>
          <w:kern w:val="24"/>
          <w:sz w:val="20"/>
          <w:szCs w:val="20"/>
        </w:rPr>
        <w:t>(</w:t>
      </w:r>
      <w:r w:rsidRPr="004740B7">
        <w:rPr>
          <w:kern w:val="24"/>
          <w:sz w:val="20"/>
          <w:szCs w:val="20"/>
        </w:rPr>
        <w:t>CRI</w:t>
      </w:r>
      <w:r>
        <w:rPr>
          <w:kern w:val="24"/>
          <w:sz w:val="20"/>
          <w:szCs w:val="20"/>
        </w:rPr>
        <w:t>)</w:t>
      </w:r>
      <w:r w:rsidRPr="004740B7">
        <w:rPr>
          <w:kern w:val="24"/>
          <w:sz w:val="20"/>
          <w:szCs w:val="20"/>
        </w:rPr>
        <w:t xml:space="preserve"> can be used for that. </w:t>
      </w:r>
      <w:r>
        <w:rPr>
          <w:kern w:val="24"/>
          <w:sz w:val="20"/>
          <w:szCs w:val="20"/>
        </w:rPr>
        <w:t xml:space="preserve">This additional information could </w:t>
      </w:r>
      <w:r w:rsidRPr="004740B7">
        <w:rPr>
          <w:kern w:val="24"/>
          <w:sz w:val="20"/>
          <w:szCs w:val="20"/>
        </w:rPr>
        <w:t>be included in the measurement configuration</w:t>
      </w:r>
      <w:r>
        <w:rPr>
          <w:kern w:val="24"/>
          <w:sz w:val="20"/>
          <w:szCs w:val="20"/>
        </w:rPr>
        <w:t>.</w:t>
      </w:r>
    </w:p>
    <w:p w14:paraId="4EA0B2EF" w14:textId="77777777" w:rsidR="00CE7E9A" w:rsidRDefault="00CE7E9A" w:rsidP="00CE7E9A">
      <w:pPr>
        <w:pStyle w:val="NormalWeb"/>
        <w:spacing w:before="0" w:beforeAutospacing="0" w:after="60" w:afterAutospacing="0"/>
        <w:rPr>
          <w:kern w:val="24"/>
          <w:sz w:val="20"/>
          <w:szCs w:val="20"/>
        </w:rPr>
      </w:pPr>
    </w:p>
    <w:p w14:paraId="65ACB1B0" w14:textId="77777777" w:rsidR="00CE7E9A" w:rsidRDefault="00CE7E9A" w:rsidP="00CE7E9A">
      <w:pPr>
        <w:pStyle w:val="00BodyText"/>
        <w:spacing w:after="0"/>
        <w:rPr>
          <w:rFonts w:ascii="Times New Roman" w:hAnsi="Times New Roman"/>
          <w:sz w:val="20"/>
          <w:lang w:val="en-GB"/>
        </w:rPr>
      </w:pPr>
    </w:p>
    <w:p w14:paraId="33D7A413" w14:textId="3D776384" w:rsidR="00CE7E9A" w:rsidRPr="000052A3" w:rsidRDefault="00CE7E9A" w:rsidP="00CE7E9A">
      <w:pPr>
        <w:pStyle w:val="00BodyText"/>
        <w:spacing w:after="0"/>
        <w:rPr>
          <w:rFonts w:ascii="Times New Roman" w:hAnsi="Times New Roman"/>
          <w:sz w:val="20"/>
          <w:u w:val="single"/>
          <w:lang w:val="en-GB"/>
        </w:rPr>
      </w:pPr>
      <w:r w:rsidRPr="000052A3">
        <w:rPr>
          <w:rFonts w:ascii="Times New Roman" w:hAnsi="Times New Roman"/>
          <w:sz w:val="20"/>
          <w:u w:val="single"/>
          <w:lang w:val="en-GB"/>
        </w:rPr>
        <w:t xml:space="preserve">Concerning </w:t>
      </w:r>
      <w:r>
        <w:rPr>
          <w:rFonts w:ascii="Times New Roman" w:hAnsi="Times New Roman"/>
          <w:sz w:val="20"/>
          <w:u w:val="single"/>
          <w:lang w:val="en-GB"/>
        </w:rPr>
        <w:t>SSB related</w:t>
      </w:r>
      <w:r w:rsidRPr="000052A3">
        <w:rPr>
          <w:rFonts w:ascii="Times New Roman" w:hAnsi="Times New Roman"/>
          <w:sz w:val="20"/>
          <w:u w:val="single"/>
          <w:lang w:val="en-GB"/>
        </w:rPr>
        <w:t xml:space="preserve"> </w:t>
      </w:r>
      <w:r>
        <w:rPr>
          <w:rFonts w:ascii="Times New Roman" w:hAnsi="Times New Roman"/>
          <w:sz w:val="20"/>
          <w:u w:val="single"/>
          <w:lang w:val="en-GB"/>
        </w:rPr>
        <w:t>information</w:t>
      </w:r>
      <w:r w:rsidRPr="000052A3">
        <w:rPr>
          <w:rFonts w:ascii="Times New Roman" w:hAnsi="Times New Roman"/>
          <w:sz w:val="20"/>
          <w:u w:val="single"/>
          <w:lang w:val="en-GB"/>
        </w:rPr>
        <w:t>, RAN1 indicates:</w:t>
      </w:r>
    </w:p>
    <w:p w14:paraId="4121220C" w14:textId="77777777" w:rsidR="00CE7E9A" w:rsidRDefault="00CE7E9A" w:rsidP="00CE7E9A">
      <w:pPr>
        <w:pStyle w:val="00BodyText"/>
        <w:spacing w:after="0"/>
        <w:rPr>
          <w:rFonts w:ascii="Times New Roman" w:hAnsi="Times New Roman"/>
          <w:sz w:val="20"/>
          <w:lang w:val="en-GB"/>
        </w:rPr>
      </w:pPr>
    </w:p>
    <w:p w14:paraId="12D08923" w14:textId="5D21E90D" w:rsidR="00CE7E9A" w:rsidRDefault="00CE7E9A" w:rsidP="00CE7E9A">
      <w:pPr>
        <w:spacing w:after="0"/>
        <w:ind w:left="720"/>
        <w:rPr>
          <w:rFonts w:ascii="Times" w:eastAsia="Batang" w:hAnsi="Times"/>
          <w:color w:val="44546A"/>
          <w:sz w:val="18"/>
          <w:szCs w:val="22"/>
        </w:rPr>
      </w:pPr>
      <w:r>
        <w:rPr>
          <w:rFonts w:ascii="Times" w:eastAsia="Batang" w:hAnsi="Times"/>
          <w:color w:val="44546A"/>
          <w:sz w:val="18"/>
          <w:szCs w:val="22"/>
        </w:rPr>
        <w:t>“Strongest DL beam information in the context of SSBs is defined as an SSB index. SSB index is an absolute index among the SSB(s) for which the configuration is provided to a gNB.”</w:t>
      </w:r>
    </w:p>
    <w:p w14:paraId="577FF9A6" w14:textId="77777777" w:rsidR="00CE7E9A" w:rsidRDefault="00CE7E9A" w:rsidP="00CE7E9A">
      <w:pPr>
        <w:pStyle w:val="00BodyText"/>
        <w:spacing w:after="0"/>
        <w:rPr>
          <w:rFonts w:ascii="Times New Roman" w:hAnsi="Times New Roman"/>
          <w:sz w:val="20"/>
          <w:lang w:val="en-GB"/>
        </w:rPr>
      </w:pPr>
    </w:p>
    <w:p w14:paraId="598450EA" w14:textId="5C07DBE0" w:rsidR="00CE7E9A" w:rsidRDefault="00CE7E9A" w:rsidP="00CE7E9A">
      <w:pPr>
        <w:pStyle w:val="00BodyText"/>
        <w:spacing w:after="0"/>
        <w:rPr>
          <w:rFonts w:ascii="Times New Roman" w:hAnsi="Times New Roman"/>
          <w:sz w:val="20"/>
          <w:lang w:val="en-GB"/>
        </w:rPr>
      </w:pPr>
      <w:r w:rsidRPr="00682D8F">
        <w:rPr>
          <w:rFonts w:ascii="Times New Roman" w:hAnsi="Times New Roman"/>
          <w:sz w:val="20"/>
          <w:lang w:val="en-GB"/>
        </w:rPr>
        <w:t>Similar as for the CSI-RS-based measurements, the SSB index is used to report the SSBs with the highest measured gNB-to-gNB CLI.</w:t>
      </w:r>
      <w:r>
        <w:rPr>
          <w:rFonts w:ascii="Times New Roman" w:hAnsi="Times New Roman"/>
          <w:sz w:val="20"/>
          <w:lang w:val="en-GB"/>
        </w:rPr>
        <w:t xml:space="preserve"> However, in order to perform measurements on neighbour cell SSBs, own SSB may need to be muted and hence NCD-SSB seems preferable for this purpose.</w:t>
      </w:r>
    </w:p>
    <w:p w14:paraId="268F556A" w14:textId="7012806B" w:rsidR="00CE7E9A" w:rsidRPr="006E13D1" w:rsidRDefault="00CE7E9A" w:rsidP="00CE7E9A">
      <w:pPr>
        <w:pStyle w:val="Heading1"/>
      </w:pPr>
      <w:r>
        <w:t>3</w:t>
      </w:r>
      <w:r w:rsidRPr="006E13D1">
        <w:tab/>
      </w:r>
      <w:r>
        <w:t>Framework and scenarios</w:t>
      </w:r>
    </w:p>
    <w:p w14:paraId="1F7852F8" w14:textId="2580E627" w:rsidR="00CE7E9A" w:rsidRDefault="00CE7E9A" w:rsidP="00CE7E9A">
      <w:r>
        <w:t>A framework for CLI management was introduced in the NG-RAN in Rel-16. The framework is described as follows for non-split architecture in TS 38.300:</w:t>
      </w:r>
    </w:p>
    <w:p w14:paraId="005D01C6" w14:textId="77777777" w:rsidR="00CE7E9A" w:rsidRDefault="00CE7E9A" w:rsidP="00CE7E9A">
      <w:pPr>
        <w:pStyle w:val="Heading2"/>
        <w:ind w:left="1702"/>
        <w:rPr>
          <w:color w:val="44546A"/>
          <w:sz w:val="24"/>
          <w:szCs w:val="16"/>
        </w:rPr>
      </w:pPr>
      <w:bookmarkStart w:id="2" w:name="_Toc37232084"/>
      <w:bookmarkStart w:id="3" w:name="_Toc46502170"/>
      <w:bookmarkStart w:id="4" w:name="_Toc51971518"/>
      <w:bookmarkStart w:id="5" w:name="_Toc52551501"/>
      <w:bookmarkStart w:id="6" w:name="_Toc171672481"/>
      <w:r>
        <w:rPr>
          <w:color w:val="44546A"/>
          <w:sz w:val="24"/>
          <w:szCs w:val="16"/>
        </w:rPr>
        <w:t>17.2</w:t>
      </w:r>
      <w:r>
        <w:rPr>
          <w:color w:val="44546A"/>
          <w:sz w:val="24"/>
          <w:szCs w:val="16"/>
        </w:rPr>
        <w:tab/>
        <w:t>Cross-Link Interference Management</w:t>
      </w:r>
      <w:bookmarkEnd w:id="2"/>
      <w:bookmarkEnd w:id="3"/>
      <w:bookmarkEnd w:id="4"/>
      <w:bookmarkEnd w:id="5"/>
      <w:bookmarkEnd w:id="6"/>
    </w:p>
    <w:p w14:paraId="0B19B66A" w14:textId="77777777" w:rsidR="00CE7E9A" w:rsidRDefault="00CE7E9A" w:rsidP="00CE7E9A">
      <w:pPr>
        <w:ind w:left="568"/>
        <w:rPr>
          <w:color w:val="44546A"/>
          <w:sz w:val="16"/>
          <w:szCs w:val="16"/>
        </w:rPr>
      </w:pPr>
      <w:r>
        <w:rPr>
          <w:color w:val="44546A"/>
          <w:sz w:val="16"/>
          <w:szCs w:val="16"/>
        </w:rPr>
        <w:t>When different TDD DL/UL patterns are used between neighbouring cells, UL transmission in one cell may interfere with DL reception in another cell: this is referred to as Cross Link Interference (CLI).</w:t>
      </w:r>
    </w:p>
    <w:p w14:paraId="7477BDCC" w14:textId="77777777" w:rsidR="00CE7E9A" w:rsidRDefault="00CE7E9A" w:rsidP="00CE7E9A">
      <w:pPr>
        <w:ind w:left="568"/>
        <w:rPr>
          <w:color w:val="44546A"/>
          <w:sz w:val="16"/>
          <w:szCs w:val="16"/>
        </w:rPr>
      </w:pPr>
      <w:r>
        <w:rPr>
          <w:color w:val="44546A"/>
          <w:sz w:val="16"/>
          <w:szCs w:val="16"/>
        </w:rPr>
        <w:t xml:space="preserve">To mitigate CLI, </w:t>
      </w:r>
      <w:proofErr w:type="spellStart"/>
      <w:r>
        <w:rPr>
          <w:color w:val="44546A"/>
          <w:sz w:val="16"/>
          <w:szCs w:val="16"/>
        </w:rPr>
        <w:t>gNBs</w:t>
      </w:r>
      <w:proofErr w:type="spellEnd"/>
      <w:r>
        <w:rPr>
          <w:color w:val="44546A"/>
          <w:sz w:val="16"/>
          <w:szCs w:val="16"/>
        </w:rPr>
        <w:t xml:space="preserve"> can </w:t>
      </w:r>
      <w:bookmarkStart w:id="7" w:name="_Hlk178538123"/>
      <w:r>
        <w:rPr>
          <w:color w:val="44546A"/>
          <w:sz w:val="16"/>
          <w:szCs w:val="16"/>
        </w:rPr>
        <w:t xml:space="preserve">exchange and coordinate their intended TDD DL-UL configurations over </w:t>
      </w:r>
      <w:proofErr w:type="spellStart"/>
      <w:r>
        <w:rPr>
          <w:color w:val="44546A"/>
          <w:sz w:val="16"/>
          <w:szCs w:val="16"/>
        </w:rPr>
        <w:t>Xn</w:t>
      </w:r>
      <w:proofErr w:type="spellEnd"/>
      <w:r>
        <w:rPr>
          <w:color w:val="44546A"/>
          <w:sz w:val="16"/>
          <w:szCs w:val="16"/>
        </w:rPr>
        <w:t xml:space="preserve"> and F1 interfaces</w:t>
      </w:r>
      <w:bookmarkEnd w:id="7"/>
      <w:r>
        <w:rPr>
          <w:color w:val="44546A"/>
          <w:sz w:val="16"/>
          <w:szCs w:val="16"/>
        </w:rPr>
        <w:t>; and the victim UEs can be configured to perform CLI measurements. There are two types of CLI measurements:</w:t>
      </w:r>
    </w:p>
    <w:p w14:paraId="30B939A8" w14:textId="77777777" w:rsidR="00CE7E9A" w:rsidRDefault="00CE7E9A" w:rsidP="00CE7E9A">
      <w:pPr>
        <w:pStyle w:val="B1"/>
        <w:ind w:left="1136"/>
        <w:rPr>
          <w:color w:val="44546A"/>
          <w:sz w:val="16"/>
          <w:szCs w:val="16"/>
        </w:rPr>
      </w:pPr>
      <w:r>
        <w:rPr>
          <w:color w:val="44546A"/>
          <w:sz w:val="16"/>
          <w:szCs w:val="16"/>
        </w:rPr>
        <w:t>-</w:t>
      </w:r>
      <w:r>
        <w:rPr>
          <w:color w:val="44546A"/>
          <w:sz w:val="16"/>
          <w:szCs w:val="16"/>
        </w:rPr>
        <w:tab/>
        <w:t>SRS-RSRP measurement in which the UE measures SRS-RSRP over SRS resources of aggressor UE(s);</w:t>
      </w:r>
    </w:p>
    <w:p w14:paraId="4CE5A4A4" w14:textId="77777777" w:rsidR="00CE7E9A" w:rsidRDefault="00CE7E9A" w:rsidP="00CE7E9A">
      <w:pPr>
        <w:pStyle w:val="B1"/>
        <w:ind w:left="1136"/>
        <w:rPr>
          <w:color w:val="44546A"/>
          <w:sz w:val="16"/>
          <w:szCs w:val="16"/>
        </w:rPr>
      </w:pPr>
      <w:r>
        <w:rPr>
          <w:color w:val="44546A"/>
          <w:sz w:val="16"/>
          <w:szCs w:val="16"/>
        </w:rPr>
        <w:t>-</w:t>
      </w:r>
      <w:r>
        <w:rPr>
          <w:color w:val="44546A"/>
          <w:sz w:val="16"/>
          <w:szCs w:val="16"/>
        </w:rPr>
        <w:tab/>
        <w:t>CLI-RSSI measurement in which the UE measures the total received power observed over RSSI resources.</w:t>
      </w:r>
    </w:p>
    <w:p w14:paraId="20EA13C7" w14:textId="77777777" w:rsidR="00CE7E9A" w:rsidRDefault="00CE7E9A" w:rsidP="00CE7E9A">
      <w:pPr>
        <w:ind w:left="568"/>
        <w:rPr>
          <w:color w:val="44546A"/>
          <w:sz w:val="16"/>
          <w:szCs w:val="16"/>
        </w:rPr>
      </w:pPr>
      <w:r>
        <w:rPr>
          <w:color w:val="44546A"/>
          <w:sz w:val="16"/>
          <w:szCs w:val="16"/>
        </w:rPr>
        <w:t>Layer 3 filtering applies to CLI measurement results and both event triggered and periodic reporting are supported.</w:t>
      </w:r>
    </w:p>
    <w:p w14:paraId="6B1017E0" w14:textId="03A7415A" w:rsidR="00CE7E9A" w:rsidRDefault="00CE7E9A" w:rsidP="00CE7E9A">
      <w:r>
        <w:t>TS 38.401 describes CLI management in split architecture:</w:t>
      </w:r>
    </w:p>
    <w:p w14:paraId="662AD93A" w14:textId="77777777" w:rsidR="00CE7E9A" w:rsidRDefault="00CE7E9A" w:rsidP="00CE7E9A">
      <w:pPr>
        <w:pStyle w:val="Heading2"/>
        <w:ind w:left="1702"/>
        <w:rPr>
          <w:color w:val="44546A"/>
          <w:sz w:val="24"/>
          <w:szCs w:val="16"/>
        </w:rPr>
      </w:pPr>
      <w:bookmarkStart w:id="8" w:name="_Toc29391489"/>
      <w:bookmarkStart w:id="9" w:name="_Toc36560520"/>
      <w:bookmarkStart w:id="10" w:name="_Toc45104755"/>
      <w:bookmarkStart w:id="11" w:name="_Toc45883238"/>
      <w:bookmarkStart w:id="12" w:name="_Toc51763518"/>
      <w:bookmarkStart w:id="13" w:name="_Toc52266332"/>
      <w:bookmarkStart w:id="14" w:name="_Toc64445110"/>
      <w:bookmarkStart w:id="15" w:name="_Toc73980469"/>
      <w:bookmarkStart w:id="16" w:name="_Toc88651165"/>
      <w:bookmarkStart w:id="17" w:name="_Toc98351698"/>
      <w:bookmarkStart w:id="18" w:name="_Toc98747996"/>
      <w:bookmarkStart w:id="19" w:name="_Toc105704382"/>
      <w:bookmarkStart w:id="20" w:name="_Toc106108500"/>
      <w:bookmarkStart w:id="21" w:name="_Toc107829472"/>
      <w:bookmarkStart w:id="22" w:name="_Toc112703231"/>
      <w:bookmarkStart w:id="23" w:name="_Toc175579682"/>
      <w:r>
        <w:rPr>
          <w:color w:val="44546A"/>
          <w:sz w:val="24"/>
          <w:szCs w:val="16"/>
        </w:rPr>
        <w:t>7.3</w:t>
      </w:r>
      <w:r>
        <w:rPr>
          <w:color w:val="44546A"/>
          <w:sz w:val="24"/>
          <w:szCs w:val="16"/>
        </w:rPr>
        <w:tab/>
      </w:r>
      <w:bookmarkStart w:id="24" w:name="OLE_LINK44"/>
      <w:r>
        <w:rPr>
          <w:color w:val="44546A"/>
          <w:sz w:val="24"/>
          <w:szCs w:val="16"/>
          <w:lang w:val="en-US" w:eastAsia="zh-CN"/>
        </w:rPr>
        <w:t xml:space="preserve">Cross-Link Interference </w:t>
      </w:r>
      <w:bookmarkEnd w:id="24"/>
      <w:r>
        <w:rPr>
          <w:color w:val="44546A"/>
          <w:sz w:val="24"/>
          <w:szCs w:val="16"/>
          <w:lang w:val="en-US" w:eastAsia="zh-CN"/>
        </w:rPr>
        <w:t>Management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4DC732B" w14:textId="77777777" w:rsidR="00CE7E9A" w:rsidRDefault="00CE7E9A" w:rsidP="00CE7E9A">
      <w:pPr>
        <w:ind w:left="568"/>
        <w:rPr>
          <w:color w:val="44546A"/>
          <w:sz w:val="16"/>
          <w:szCs w:val="16"/>
          <w:lang w:eastAsia="zh-CN"/>
        </w:rPr>
      </w:pPr>
      <w:r>
        <w:rPr>
          <w:rFonts w:hint="eastAsia"/>
          <w:color w:val="44546A"/>
          <w:sz w:val="16"/>
          <w:szCs w:val="16"/>
          <w:lang w:eastAsia="zh-CN"/>
        </w:rPr>
        <w:t>Th</w:t>
      </w:r>
      <w:r>
        <w:rPr>
          <w:color w:val="44546A"/>
          <w:sz w:val="16"/>
          <w:szCs w:val="16"/>
          <w:lang w:eastAsia="zh-CN"/>
        </w:rPr>
        <w:t>e Cross-Link Interference Management function in non-split gNB case is specified in TS 38.300 [2].</w:t>
      </w:r>
    </w:p>
    <w:p w14:paraId="683AFE14" w14:textId="77777777" w:rsidR="00CE7E9A" w:rsidRDefault="00CE7E9A" w:rsidP="00CE7E9A">
      <w:pPr>
        <w:ind w:left="568"/>
        <w:rPr>
          <w:color w:val="44546A"/>
          <w:sz w:val="16"/>
          <w:szCs w:val="16"/>
          <w:lang w:eastAsia="ja-JP"/>
        </w:rPr>
      </w:pPr>
      <w:r>
        <w:rPr>
          <w:color w:val="44546A"/>
          <w:sz w:val="16"/>
          <w:szCs w:val="16"/>
          <w:lang w:val="en-US" w:eastAsia="zh-CN"/>
        </w:rPr>
        <w:t>In case of split gNB architecture, the gNB-CU forwards the TDD DL/UL patterns received from neighboring nodes to each concerned gNB-DU. The gNB-DU reports the TDD DL/UL patterns of its serving cells to the gNB-CU if Cross-Link Interference is detected.</w:t>
      </w:r>
    </w:p>
    <w:p w14:paraId="30865B17" w14:textId="07C7EB31" w:rsidR="00CE7E9A" w:rsidRDefault="00CE7E9A" w:rsidP="00CE7E9A">
      <w:r>
        <w:t xml:space="preserve">The Rel-16 framework applies to dynamic TDD. It can be observed that corrective actions in this framework consists in </w:t>
      </w:r>
      <w:r w:rsidRPr="009478D6">
        <w:t>exchange and coordinat</w:t>
      </w:r>
      <w:r>
        <w:t>ion of</w:t>
      </w:r>
      <w:r w:rsidRPr="009478D6">
        <w:t xml:space="preserve"> the intended TDD DL-UL configurations over </w:t>
      </w:r>
      <w:proofErr w:type="spellStart"/>
      <w:r w:rsidRPr="009478D6">
        <w:t>Xn</w:t>
      </w:r>
      <w:proofErr w:type="spellEnd"/>
      <w:r w:rsidRPr="009478D6">
        <w:t xml:space="preserve"> and F1 interfaces</w:t>
      </w:r>
      <w:r>
        <w:t xml:space="preserve">, as well as </w:t>
      </w:r>
      <w:r w:rsidR="00CF234F">
        <w:t xml:space="preserve">configuration of </w:t>
      </w:r>
      <w:r>
        <w:t>UE</w:t>
      </w:r>
      <w:r w:rsidR="000844D0">
        <w:t>-to-UE CLI</w:t>
      </w:r>
      <w:r>
        <w:t xml:space="preserve"> measurements </w:t>
      </w:r>
      <w:r w:rsidR="00CF234F">
        <w:t>resources</w:t>
      </w:r>
      <w:r w:rsidR="000844D0">
        <w:t xml:space="preserve"> </w:t>
      </w:r>
      <w:r>
        <w:t xml:space="preserve">using SRS-RSRP and CLI-RSSI measurements. </w:t>
      </w:r>
    </w:p>
    <w:p w14:paraId="2D6149F6" w14:textId="273C7345" w:rsidR="00CE7E9A" w:rsidRDefault="00CE7E9A" w:rsidP="00CE7E9A">
      <w:r>
        <w:t xml:space="preserve">For </w:t>
      </w:r>
      <w:r w:rsidRPr="00C961D4">
        <w:t xml:space="preserve">CLI </w:t>
      </w:r>
      <w:r>
        <w:t>m</w:t>
      </w:r>
      <w:r w:rsidRPr="00C961D4">
        <w:t xml:space="preserve">anagement </w:t>
      </w:r>
      <w:r>
        <w:t>in SBFD o</w:t>
      </w:r>
      <w:r w:rsidRPr="00C961D4">
        <w:t>peration</w:t>
      </w:r>
      <w:r>
        <w:t xml:space="preserve"> a new framework is needed in order to introduce support for the new techniques of beam nulling and beam pairing described in section 2, and which require inter-gNB exchange of configuration information for CLI-RS resources. Beam pairing additionally requires gNB measurement of </w:t>
      </w:r>
      <w:r w:rsidRPr="001C6E55">
        <w:t>Strongest DL beam</w:t>
      </w:r>
      <w:r>
        <w:t xml:space="preserve">. According to the WID [1], the information exchange over network interfaces is </w:t>
      </w:r>
      <w:r w:rsidRPr="00A1129F">
        <w:t>subject to RAN3’s assessment of feasibility and specification impact</w:t>
      </w:r>
      <w:r>
        <w:t>.</w:t>
      </w:r>
    </w:p>
    <w:p w14:paraId="085F3C96" w14:textId="2239E1CE" w:rsidR="00CE7E9A" w:rsidRDefault="00CE7E9A" w:rsidP="00CE7E9A">
      <w:r>
        <w:t>Within the new framework, there are multiple options possible for transmission of reference signals used for the CLI measurements (SSB or NZP-CSI-RS, which may go under the common name of CLI-RS), corresponding exchange CLI-RS resource information over network interfaces as well as inter-gNB signalling required to trigger CLI mitigation (named CLI Mitigation Request in the WID</w:t>
      </w:r>
      <w:r w:rsidR="006A3CBF">
        <w:t>).</w:t>
      </w:r>
      <w:r>
        <w:t xml:space="preserve"> </w:t>
      </w:r>
      <w:r w:rsidR="00481768">
        <w:t xml:space="preserve">RAN1 introduced the concept of CLI mitigation request </w:t>
      </w:r>
      <w:r w:rsidR="008D4476">
        <w:t>f</w:t>
      </w:r>
      <w:r w:rsidR="0098484D">
        <w:t>or beam nulling</w:t>
      </w:r>
      <w:r w:rsidR="000648BF">
        <w:t xml:space="preserve"> and it is seen as </w:t>
      </w:r>
      <w:r w:rsidR="000648BF" w:rsidRPr="00E81E0A">
        <w:t>is a backhaul message initiated by the victim gNB to signal the aggressor gNB when to start applying the beam</w:t>
      </w:r>
      <w:r w:rsidR="000648BF">
        <w:t xml:space="preserve"> </w:t>
      </w:r>
      <w:r w:rsidR="000648BF" w:rsidRPr="00E81E0A">
        <w:t>nulling.</w:t>
      </w:r>
      <w:r w:rsidR="00B47040">
        <w:t xml:space="preserve"> </w:t>
      </w:r>
      <w:r w:rsidR="00530F46">
        <w:t>Regarding this latter topic, w</w:t>
      </w:r>
      <w:r>
        <w:t>e see the following two main options:</w:t>
      </w:r>
    </w:p>
    <w:p w14:paraId="48A3EE47" w14:textId="559FBF79" w:rsidR="00CE7E9A" w:rsidRDefault="00CE7E9A" w:rsidP="00CE7E9A">
      <w:pPr>
        <w:numPr>
          <w:ilvl w:val="0"/>
          <w:numId w:val="11"/>
        </w:numPr>
        <w:rPr>
          <w:lang w:val="en-US"/>
        </w:rPr>
      </w:pPr>
      <w:r w:rsidRPr="0071672C">
        <w:rPr>
          <w:b/>
          <w:bCs/>
          <w:lang w:val="en-US"/>
        </w:rPr>
        <w:t>Option 1 (explicit CLI Mitigation Request):</w:t>
      </w:r>
      <w:r>
        <w:rPr>
          <w:lang w:val="en-US"/>
        </w:rPr>
        <w:t xml:space="preserve"> </w:t>
      </w:r>
      <w:r w:rsidR="004C6E65">
        <w:rPr>
          <w:lang w:val="en-US"/>
        </w:rPr>
        <w:t xml:space="preserve">Victim </w:t>
      </w:r>
      <w:r>
        <w:rPr>
          <w:lang w:val="en-US"/>
        </w:rPr>
        <w:t>gNB first exchange</w:t>
      </w:r>
      <w:r w:rsidR="00A854E0">
        <w:rPr>
          <w:lang w:val="en-US"/>
        </w:rPr>
        <w:t>s</w:t>
      </w:r>
      <w:r>
        <w:rPr>
          <w:lang w:val="en-US"/>
        </w:rPr>
        <w:t xml:space="preserve"> </w:t>
      </w:r>
      <w:r w:rsidR="00D32F38">
        <w:rPr>
          <w:lang w:val="en-US"/>
        </w:rPr>
        <w:t xml:space="preserve">the </w:t>
      </w:r>
      <w:r>
        <w:rPr>
          <w:lang w:val="en-US"/>
        </w:rPr>
        <w:t>CLI</w:t>
      </w:r>
      <w:r w:rsidR="00F20FDF">
        <w:rPr>
          <w:lang w:val="en-US"/>
        </w:rPr>
        <w:t>-RS</w:t>
      </w:r>
      <w:r>
        <w:rPr>
          <w:lang w:val="en-US"/>
        </w:rPr>
        <w:t xml:space="preserve"> </w:t>
      </w:r>
      <w:r w:rsidR="00AE369A">
        <w:rPr>
          <w:lang w:val="en-US"/>
        </w:rPr>
        <w:t>configuration</w:t>
      </w:r>
      <w:r>
        <w:rPr>
          <w:lang w:val="en-US"/>
        </w:rPr>
        <w:t xml:space="preserve"> (either for SSB or NZP-CSI-RS or both)</w:t>
      </w:r>
      <w:r w:rsidR="00E80778">
        <w:rPr>
          <w:lang w:val="en-US"/>
        </w:rPr>
        <w:t xml:space="preserve"> with the aggressor gNB</w:t>
      </w:r>
      <w:r>
        <w:rPr>
          <w:lang w:val="en-US"/>
        </w:rPr>
        <w:t xml:space="preserve">. </w:t>
      </w:r>
      <w:r w:rsidR="00504E08">
        <w:rPr>
          <w:lang w:val="en-US"/>
        </w:rPr>
        <w:t xml:space="preserve">The aggressor gNB measures the channel on the corresponding resources. </w:t>
      </w:r>
      <w:r w:rsidR="00E70AB5">
        <w:rPr>
          <w:lang w:val="en-US"/>
        </w:rPr>
        <w:t>Once</w:t>
      </w:r>
      <w:r>
        <w:rPr>
          <w:lang w:val="en-US"/>
        </w:rPr>
        <w:t xml:space="preserve"> inter-cell CLI is detected, the victim gNB sends a CLI Mitigation Request to the aggressor gNB containing cell id. </w:t>
      </w:r>
      <w:r w:rsidR="00E70AB5">
        <w:rPr>
          <w:lang w:val="en-US"/>
        </w:rPr>
        <w:t>Upon the reception, the aggressor gNB start</w:t>
      </w:r>
      <w:r w:rsidR="0071672C">
        <w:rPr>
          <w:lang w:val="en-US"/>
        </w:rPr>
        <w:t>s</w:t>
      </w:r>
      <w:r w:rsidR="00E70AB5">
        <w:rPr>
          <w:lang w:val="en-US"/>
        </w:rPr>
        <w:t xml:space="preserve"> applying the CLI mitigation scheme (i.e., beam nulling).</w:t>
      </w:r>
      <w:r w:rsidR="00E70AB5" w:rsidDel="00E70AB5">
        <w:rPr>
          <w:lang w:val="en-US"/>
        </w:rPr>
        <w:t xml:space="preserve"> </w:t>
      </w:r>
    </w:p>
    <w:p w14:paraId="53F904F1" w14:textId="7BD73297" w:rsidR="00CE7E9A" w:rsidRDefault="00CE7E9A" w:rsidP="00CE7E9A">
      <w:pPr>
        <w:numPr>
          <w:ilvl w:val="0"/>
          <w:numId w:val="11"/>
        </w:numPr>
        <w:rPr>
          <w:lang w:val="en-US"/>
        </w:rPr>
      </w:pPr>
      <w:r w:rsidRPr="0071672C">
        <w:rPr>
          <w:b/>
          <w:bCs/>
          <w:lang w:val="en-US"/>
        </w:rPr>
        <w:t xml:space="preserve">Option 2 (implicit </w:t>
      </w:r>
      <w:r w:rsidRPr="00826416">
        <w:rPr>
          <w:b/>
          <w:bCs/>
          <w:lang w:val="en-US"/>
        </w:rPr>
        <w:t>CLI</w:t>
      </w:r>
      <w:r w:rsidRPr="00B063F8">
        <w:rPr>
          <w:b/>
          <w:bCs/>
          <w:lang w:val="en-US"/>
        </w:rPr>
        <w:t xml:space="preserve"> Mitigation Request</w:t>
      </w:r>
      <w:r>
        <w:rPr>
          <w:b/>
          <w:bCs/>
          <w:lang w:val="en-US"/>
        </w:rPr>
        <w:t>)</w:t>
      </w:r>
      <w:r>
        <w:rPr>
          <w:lang w:val="en-US"/>
        </w:rPr>
        <w:t xml:space="preserve">: There is no initial CLI measurement resource exchange. When the victim gNB detects increased CLI level based on UL performance degradation, it triggers CLI measurement resource exchange and activation of CLI-RS transmission. </w:t>
      </w:r>
      <w:r w:rsidR="008557C5">
        <w:rPr>
          <w:lang w:val="en-US"/>
        </w:rPr>
        <w:t xml:space="preserve">Upon the reception of the CLI-RS </w:t>
      </w:r>
      <w:r w:rsidR="008557C5">
        <w:rPr>
          <w:lang w:val="en-US"/>
        </w:rPr>
        <w:lastRenderedPageBreak/>
        <w:t xml:space="preserve">configuration, the aggressor gNB </w:t>
      </w:r>
      <w:r w:rsidR="00911AD2">
        <w:rPr>
          <w:lang w:val="en-US"/>
        </w:rPr>
        <w:t xml:space="preserve">is expected to perform </w:t>
      </w:r>
      <w:r w:rsidR="003974C9">
        <w:rPr>
          <w:lang w:val="en-US"/>
        </w:rPr>
        <w:t>measurements</w:t>
      </w:r>
      <w:r w:rsidR="00C71A4A">
        <w:rPr>
          <w:lang w:val="en-US"/>
        </w:rPr>
        <w:t xml:space="preserve"> and also apply the beam nulling sche</w:t>
      </w:r>
      <w:r w:rsidR="00C61C4F">
        <w:rPr>
          <w:lang w:val="en-US"/>
        </w:rPr>
        <w:t>m</w:t>
      </w:r>
      <w:r w:rsidR="00C71A4A">
        <w:rPr>
          <w:lang w:val="en-US"/>
        </w:rPr>
        <w:t>e</w:t>
      </w:r>
      <w:r w:rsidR="003974C9">
        <w:rPr>
          <w:lang w:val="en-US"/>
        </w:rPr>
        <w:t>.</w:t>
      </w:r>
      <w:r w:rsidR="00911AD2">
        <w:rPr>
          <w:lang w:val="en-US"/>
        </w:rPr>
        <w:t xml:space="preserve"> </w:t>
      </w:r>
      <w:r>
        <w:rPr>
          <w:lang w:val="en-US"/>
        </w:rPr>
        <w:t xml:space="preserve">In this way the </w:t>
      </w:r>
      <w:proofErr w:type="spellStart"/>
      <w:r>
        <w:rPr>
          <w:lang w:val="en-US"/>
        </w:rPr>
        <w:t>signalling</w:t>
      </w:r>
      <w:proofErr w:type="spellEnd"/>
      <w:r>
        <w:rPr>
          <w:lang w:val="en-US"/>
        </w:rPr>
        <w:t xml:space="preserve"> of CLI measurement resource information is an implicit trigger of CLI mitigation.</w:t>
      </w:r>
    </w:p>
    <w:p w14:paraId="133F61A7" w14:textId="4FE6ED2D" w:rsidR="00CE7E9A" w:rsidRPr="0071672C" w:rsidRDefault="00236785" w:rsidP="00CE7E9A">
      <w:pPr>
        <w:pStyle w:val="00BodyText"/>
        <w:spacing w:after="0"/>
        <w:rPr>
          <w:rFonts w:ascii="Times New Roman" w:hAnsi="Times New Roman"/>
          <w:sz w:val="20"/>
          <w:lang w:val="en-GB"/>
        </w:rPr>
      </w:pPr>
      <w:r w:rsidRPr="0071672C">
        <w:rPr>
          <w:rFonts w:ascii="Times New Roman" w:hAnsi="Times New Roman"/>
          <w:sz w:val="20"/>
          <w:lang w:val="en-GB"/>
        </w:rPr>
        <w:t>Wi</w:t>
      </w:r>
      <w:r w:rsidR="001F12C5" w:rsidRPr="0071672C">
        <w:rPr>
          <w:rFonts w:ascii="Times New Roman" w:hAnsi="Times New Roman"/>
          <w:sz w:val="20"/>
          <w:lang w:val="en-GB"/>
        </w:rPr>
        <w:t>th o</w:t>
      </w:r>
      <w:r w:rsidR="00CE7E9A" w:rsidRPr="0071672C">
        <w:rPr>
          <w:rFonts w:ascii="Times New Roman" w:hAnsi="Times New Roman"/>
          <w:sz w:val="20"/>
          <w:lang w:val="en-GB"/>
        </w:rPr>
        <w:t>ption 1</w:t>
      </w:r>
      <w:r w:rsidR="001F12C5" w:rsidRPr="0071672C">
        <w:rPr>
          <w:rFonts w:ascii="Times New Roman" w:hAnsi="Times New Roman"/>
          <w:sz w:val="20"/>
          <w:lang w:val="en-GB"/>
        </w:rPr>
        <w:t xml:space="preserve">, </w:t>
      </w:r>
      <w:r w:rsidR="00CE7E9A" w:rsidRPr="0071672C">
        <w:rPr>
          <w:rFonts w:ascii="Times New Roman" w:hAnsi="Times New Roman"/>
          <w:sz w:val="20"/>
          <w:lang w:val="en-GB"/>
        </w:rPr>
        <w:t xml:space="preserve">CLI-RS are </w:t>
      </w:r>
      <w:r w:rsidR="001F12C5" w:rsidRPr="0071672C">
        <w:rPr>
          <w:rFonts w:ascii="Times New Roman" w:hAnsi="Times New Roman"/>
          <w:sz w:val="20"/>
          <w:lang w:val="en-GB"/>
        </w:rPr>
        <w:t xml:space="preserve">allocated </w:t>
      </w:r>
      <w:r w:rsidR="00CE7E9A" w:rsidRPr="0071672C">
        <w:rPr>
          <w:rFonts w:ascii="Times New Roman" w:hAnsi="Times New Roman"/>
          <w:sz w:val="20"/>
          <w:lang w:val="en-GB"/>
        </w:rPr>
        <w:t xml:space="preserve">and exchanged between </w:t>
      </w:r>
      <w:r w:rsidR="001F12C5" w:rsidRPr="0071672C">
        <w:rPr>
          <w:rFonts w:ascii="Times New Roman" w:hAnsi="Times New Roman"/>
          <w:sz w:val="20"/>
          <w:lang w:val="en-GB"/>
        </w:rPr>
        <w:t>the</w:t>
      </w:r>
      <w:r w:rsidR="00CE7E9A" w:rsidRPr="0071672C">
        <w:rPr>
          <w:rFonts w:ascii="Times New Roman" w:hAnsi="Times New Roman"/>
          <w:sz w:val="20"/>
          <w:lang w:val="en-GB"/>
        </w:rPr>
        <w:t xml:space="preserve"> impacted </w:t>
      </w:r>
      <w:proofErr w:type="spellStart"/>
      <w:r w:rsidR="001F12C5" w:rsidRPr="0071672C">
        <w:rPr>
          <w:rFonts w:ascii="Times New Roman" w:hAnsi="Times New Roman"/>
          <w:sz w:val="20"/>
          <w:lang w:val="en-GB"/>
        </w:rPr>
        <w:t>gNBs</w:t>
      </w:r>
      <w:proofErr w:type="spellEnd"/>
      <w:r w:rsidR="001F12C5" w:rsidRPr="0071672C">
        <w:rPr>
          <w:rFonts w:ascii="Times New Roman" w:hAnsi="Times New Roman"/>
          <w:sz w:val="20"/>
          <w:lang w:val="en-GB"/>
        </w:rPr>
        <w:t xml:space="preserve"> in a first step</w:t>
      </w:r>
      <w:r w:rsidR="00000361" w:rsidRPr="0071672C">
        <w:rPr>
          <w:rFonts w:ascii="Times New Roman" w:hAnsi="Times New Roman"/>
          <w:sz w:val="20"/>
          <w:lang w:val="en-GB"/>
        </w:rPr>
        <w:t>. Then in a second step the victim gNB will explicit</w:t>
      </w:r>
      <w:r w:rsidR="00175675" w:rsidRPr="0071672C">
        <w:rPr>
          <w:rFonts w:ascii="Times New Roman" w:hAnsi="Times New Roman"/>
          <w:sz w:val="20"/>
          <w:lang w:val="en-GB"/>
        </w:rPr>
        <w:t>ly</w:t>
      </w:r>
      <w:r w:rsidR="00000361" w:rsidRPr="0071672C">
        <w:rPr>
          <w:rFonts w:ascii="Times New Roman" w:hAnsi="Times New Roman"/>
          <w:sz w:val="20"/>
          <w:lang w:val="en-GB"/>
        </w:rPr>
        <w:t xml:space="preserve"> request CLI mitigation.</w:t>
      </w:r>
      <w:r w:rsidR="00CE7E9A" w:rsidRPr="0071672C">
        <w:rPr>
          <w:rFonts w:ascii="Times New Roman" w:hAnsi="Times New Roman"/>
          <w:sz w:val="20"/>
          <w:lang w:val="en-GB"/>
        </w:rPr>
        <w:t xml:space="preserve"> Option 2 </w:t>
      </w:r>
      <w:r w:rsidR="004C2B2C" w:rsidRPr="0071672C">
        <w:rPr>
          <w:rFonts w:ascii="Times New Roman" w:hAnsi="Times New Roman"/>
          <w:sz w:val="20"/>
          <w:lang w:val="en-GB"/>
        </w:rPr>
        <w:t>merges these two steps</w:t>
      </w:r>
      <w:r w:rsidR="00086EC9" w:rsidRPr="0071672C">
        <w:rPr>
          <w:rFonts w:ascii="Times New Roman" w:hAnsi="Times New Roman"/>
          <w:sz w:val="20"/>
          <w:lang w:val="en-GB"/>
        </w:rPr>
        <w:t>, so</w:t>
      </w:r>
      <w:r w:rsidR="004C2B2C" w:rsidRPr="0071672C">
        <w:rPr>
          <w:rFonts w:ascii="Times New Roman" w:hAnsi="Times New Roman"/>
          <w:sz w:val="20"/>
          <w:lang w:val="en-GB"/>
        </w:rPr>
        <w:t xml:space="preserve"> </w:t>
      </w:r>
      <w:r w:rsidR="00CE7E9A" w:rsidRPr="0071672C">
        <w:rPr>
          <w:rFonts w:ascii="Times New Roman" w:hAnsi="Times New Roman"/>
          <w:sz w:val="20"/>
          <w:lang w:val="en-GB"/>
        </w:rPr>
        <w:t>comes with the advantage of avoiding pre</w:t>
      </w:r>
      <w:r w:rsidR="002D0505" w:rsidRPr="0071672C">
        <w:rPr>
          <w:rFonts w:ascii="Times New Roman" w:hAnsi="Times New Roman"/>
          <w:sz w:val="20"/>
          <w:lang w:val="en-GB"/>
        </w:rPr>
        <w:t>-</w:t>
      </w:r>
      <w:r w:rsidR="00CE7E9A" w:rsidRPr="0071672C">
        <w:rPr>
          <w:rFonts w:ascii="Times New Roman" w:hAnsi="Times New Roman"/>
          <w:sz w:val="20"/>
          <w:lang w:val="en-GB"/>
        </w:rPr>
        <w:t xml:space="preserve">allocation </w:t>
      </w:r>
      <w:r w:rsidR="00201F98" w:rsidRPr="0071672C">
        <w:rPr>
          <w:rFonts w:ascii="Times New Roman" w:hAnsi="Times New Roman"/>
          <w:sz w:val="20"/>
          <w:lang w:val="en-GB"/>
        </w:rPr>
        <w:t xml:space="preserve">and periodical transmission </w:t>
      </w:r>
      <w:r w:rsidR="00CE7E9A" w:rsidRPr="0071672C">
        <w:rPr>
          <w:rFonts w:ascii="Times New Roman" w:hAnsi="Times New Roman"/>
          <w:sz w:val="20"/>
          <w:lang w:val="en-GB"/>
        </w:rPr>
        <w:t xml:space="preserve">of CLI measurement resources </w:t>
      </w:r>
      <w:r w:rsidR="00201F98" w:rsidRPr="0071672C">
        <w:rPr>
          <w:rFonts w:ascii="Times New Roman" w:hAnsi="Times New Roman"/>
          <w:sz w:val="20"/>
          <w:lang w:val="en-GB"/>
        </w:rPr>
        <w:t>prior</w:t>
      </w:r>
      <w:r w:rsidR="00E64401" w:rsidRPr="0071672C">
        <w:rPr>
          <w:rFonts w:ascii="Times New Roman" w:hAnsi="Times New Roman"/>
          <w:sz w:val="20"/>
          <w:lang w:val="en-GB"/>
        </w:rPr>
        <w:t xml:space="preserve"> to the occurrence of the CLI issue.</w:t>
      </w:r>
      <w:r w:rsidR="00DF486C" w:rsidRPr="0071672C">
        <w:rPr>
          <w:rFonts w:ascii="Times New Roman" w:hAnsi="Times New Roman"/>
          <w:sz w:val="20"/>
          <w:lang w:val="en-GB"/>
        </w:rPr>
        <w:t xml:space="preserve"> </w:t>
      </w:r>
      <w:r w:rsidR="00CE7E9A" w:rsidRPr="0071672C">
        <w:rPr>
          <w:rFonts w:ascii="Times New Roman" w:hAnsi="Times New Roman"/>
          <w:sz w:val="20"/>
          <w:lang w:val="en-GB"/>
        </w:rPr>
        <w:t xml:space="preserve">We therefore think option 2 should be prioritized. </w:t>
      </w:r>
    </w:p>
    <w:p w14:paraId="0191FDD1" w14:textId="77777777" w:rsidR="00CE7E9A" w:rsidRDefault="00CE7E9A" w:rsidP="00CE7E9A">
      <w:pPr>
        <w:pStyle w:val="00BodyText"/>
        <w:spacing w:after="0"/>
        <w:rPr>
          <w:rFonts w:ascii="Times New Roman" w:hAnsi="Times New Roman"/>
          <w:sz w:val="20"/>
          <w:u w:val="single"/>
          <w:lang w:val="en-GB"/>
        </w:rPr>
      </w:pPr>
    </w:p>
    <w:p w14:paraId="58C2EC9A" w14:textId="77777777" w:rsidR="00CE7E9A" w:rsidRPr="0071672C" w:rsidRDefault="00CE7E9A" w:rsidP="00CE7E9A">
      <w:pPr>
        <w:pStyle w:val="00BodyText"/>
        <w:spacing w:after="0"/>
        <w:rPr>
          <w:rFonts w:ascii="Times New Roman" w:hAnsi="Times New Roman"/>
          <w:b/>
          <w:bCs/>
          <w:sz w:val="20"/>
          <w:lang w:val="en-GB"/>
        </w:rPr>
      </w:pPr>
      <w:r w:rsidRPr="0071672C">
        <w:rPr>
          <w:rFonts w:ascii="Times New Roman" w:hAnsi="Times New Roman"/>
          <w:b/>
          <w:bCs/>
          <w:sz w:val="20"/>
          <w:lang w:val="en-GB"/>
        </w:rPr>
        <w:t>Proposal 1: RAN3 to discuss explicit vs. implicit CLI Mitigation Request and prioritize support of the implicit CLI Mitigation Request (option 2).</w:t>
      </w:r>
    </w:p>
    <w:p w14:paraId="48FBBA32" w14:textId="77777777" w:rsidR="00CE7E9A" w:rsidRDefault="00CE7E9A" w:rsidP="00CE7E9A"/>
    <w:p w14:paraId="7C22E4D4" w14:textId="77777777" w:rsidR="00CE7E9A" w:rsidRPr="006E13D1" w:rsidRDefault="00CE7E9A" w:rsidP="00CE7E9A">
      <w:pPr>
        <w:pStyle w:val="Heading1"/>
      </w:pPr>
      <w:r>
        <w:t>4</w:t>
      </w:r>
      <w:r w:rsidRPr="006E13D1">
        <w:tab/>
      </w:r>
      <w:r>
        <w:t>Inter-gNB signalling</w:t>
      </w:r>
    </w:p>
    <w:p w14:paraId="61B1A2F5" w14:textId="00193E94" w:rsidR="00CE7E9A" w:rsidRDefault="00CE7E9A" w:rsidP="00CE7E9A">
      <w:r>
        <w:t xml:space="preserve">Based on discussion in the preceding sections, we propose the following signalling flow </w:t>
      </w:r>
      <w:r w:rsidR="00280A0C">
        <w:t>based on option 2 (</w:t>
      </w:r>
      <w:r w:rsidR="00280A0C" w:rsidRPr="00280A0C">
        <w:t>implicit CLI Mitigation Request</w:t>
      </w:r>
      <w:r w:rsidR="00280A0C">
        <w:t xml:space="preserve">) </w:t>
      </w:r>
      <w:r>
        <w:t xml:space="preserve">as possible starting point for RAN3 discussion on </w:t>
      </w:r>
      <w:proofErr w:type="spellStart"/>
      <w:r w:rsidR="0071672C">
        <w:t>XnAP</w:t>
      </w:r>
      <w:proofErr w:type="spellEnd"/>
      <w:r w:rsidR="0071672C">
        <w:t xml:space="preserve"> </w:t>
      </w:r>
      <w:r>
        <w:t>support of beam nulling</w:t>
      </w:r>
      <w:r w:rsidRPr="00E00126">
        <w:t xml:space="preserve"> </w:t>
      </w:r>
      <w:r>
        <w:t>(</w:t>
      </w:r>
      <w:r w:rsidRPr="00E00126">
        <w:fldChar w:fldCharType="begin"/>
      </w:r>
      <w:r w:rsidRPr="00E00126">
        <w:instrText xml:space="preserve"> REF _Ref178578527 \h  \* MERGEFORMAT </w:instrText>
      </w:r>
      <w:r w:rsidRPr="00E00126">
        <w:fldChar w:fldCharType="separate"/>
      </w:r>
      <w:r w:rsidRPr="00E00126">
        <w:t xml:space="preserve">Figure </w:t>
      </w:r>
      <w:r w:rsidRPr="00E00126">
        <w:rPr>
          <w:noProof/>
        </w:rPr>
        <w:t>2</w:t>
      </w:r>
      <w:r w:rsidRPr="00E00126">
        <w:fldChar w:fldCharType="end"/>
      </w:r>
      <w:r>
        <w:t>)</w:t>
      </w:r>
      <w:r w:rsidRPr="00E00126">
        <w:t>.</w:t>
      </w:r>
    </w:p>
    <w:p w14:paraId="132FE320" w14:textId="213C720D" w:rsidR="00CE7E9A" w:rsidRDefault="00CE7E9A" w:rsidP="00CE7E9A">
      <w:r>
        <w:t xml:space="preserve"> </w:t>
      </w:r>
    </w:p>
    <w:p w14:paraId="10F0D781" w14:textId="77777777" w:rsidR="00CE7E9A" w:rsidRDefault="00CE7E9A" w:rsidP="00CE7E9A">
      <w:pPr>
        <w:keepNext/>
      </w:pPr>
      <w:r>
        <w:object w:dxaOrig="9081" w:dyaOrig="8121" w14:anchorId="18B1FDD1">
          <v:shape id="_x0000_i1026" type="#_x0000_t75" style="width:453.5pt;height:405.5pt" o:ole="">
            <v:imagedata r:id="rId13" o:title=""/>
          </v:shape>
          <o:OLEObject Type="Embed" ProgID="Visio.Drawing.15" ShapeID="_x0000_i1026" DrawAspect="Content" ObjectID="_1789407638" r:id="rId14"/>
        </w:object>
      </w:r>
      <w:r>
        <w:rPr>
          <w:rStyle w:val="CommentReference"/>
        </w:rPr>
        <w:t xml:space="preserve"> </w:t>
      </w:r>
    </w:p>
    <w:p w14:paraId="02881DF3" w14:textId="77777777" w:rsidR="00CE7E9A" w:rsidRPr="00E00126" w:rsidRDefault="00CE7E9A" w:rsidP="00CE7E9A">
      <w:pPr>
        <w:pStyle w:val="Caption"/>
        <w:rPr>
          <w:b w:val="0"/>
          <w:bCs w:val="0"/>
        </w:rPr>
      </w:pPr>
      <w:bookmarkStart w:id="25" w:name="_Ref178578527"/>
      <w:r w:rsidRPr="00E00126">
        <w:rPr>
          <w:b w:val="0"/>
          <w:bCs w:val="0"/>
        </w:rPr>
        <w:t xml:space="preserve">Figure </w:t>
      </w:r>
      <w:r w:rsidRPr="00E00126">
        <w:rPr>
          <w:b w:val="0"/>
          <w:bCs w:val="0"/>
        </w:rPr>
        <w:fldChar w:fldCharType="begin"/>
      </w:r>
      <w:r w:rsidRPr="00E00126">
        <w:rPr>
          <w:b w:val="0"/>
          <w:bCs w:val="0"/>
        </w:rPr>
        <w:instrText xml:space="preserve"> SEQ Figure \* ARABIC </w:instrText>
      </w:r>
      <w:r w:rsidRPr="00E00126">
        <w:rPr>
          <w:b w:val="0"/>
          <w:bCs w:val="0"/>
        </w:rPr>
        <w:fldChar w:fldCharType="separate"/>
      </w:r>
      <w:r>
        <w:rPr>
          <w:b w:val="0"/>
          <w:bCs w:val="0"/>
          <w:noProof/>
        </w:rPr>
        <w:t>2</w:t>
      </w:r>
      <w:r w:rsidRPr="00E00126">
        <w:rPr>
          <w:b w:val="0"/>
          <w:bCs w:val="0"/>
        </w:rPr>
        <w:fldChar w:fldCharType="end"/>
      </w:r>
      <w:bookmarkEnd w:id="25"/>
      <w:r w:rsidRPr="00E00126">
        <w:rPr>
          <w:b w:val="0"/>
          <w:bCs w:val="0"/>
        </w:rPr>
        <w:t xml:space="preserve">: </w:t>
      </w:r>
      <w:r>
        <w:rPr>
          <w:b w:val="0"/>
          <w:bCs w:val="0"/>
        </w:rPr>
        <w:t>Example of inter-gNB signalling in support of beam nulling (used in FR1). Both gNB1 and gNB2 have activated SBFD. In this example a cell controlled by the gNB 1 is victim of gNB-to-gNB CLI originating in a cell (aggressor cell) controlled by gNB 2.</w:t>
      </w:r>
    </w:p>
    <w:p w14:paraId="3AF19B97" w14:textId="77777777" w:rsidR="00CE7E9A" w:rsidRDefault="00CE7E9A" w:rsidP="00CE7E9A">
      <w:r>
        <w:t xml:space="preserve">Step 1: Exchange of </w:t>
      </w:r>
      <w:r w:rsidRPr="00D84644">
        <w:rPr>
          <w:lang w:val="en-US"/>
        </w:rPr>
        <w:t xml:space="preserve">SBFD </w:t>
      </w:r>
      <w:r>
        <w:rPr>
          <w:lang w:val="en-US"/>
        </w:rPr>
        <w:t xml:space="preserve">time and frequency </w:t>
      </w:r>
      <w:r w:rsidRPr="00D84644">
        <w:rPr>
          <w:lang w:val="en-US"/>
        </w:rPr>
        <w:t>configuration</w:t>
      </w:r>
      <w:r>
        <w:rPr>
          <w:lang w:val="en-US"/>
        </w:rPr>
        <w:t xml:space="preserve"> information. </w:t>
      </w:r>
    </w:p>
    <w:p w14:paraId="61EABF0E" w14:textId="77777777" w:rsidR="00CE7E9A" w:rsidRDefault="00CE7E9A" w:rsidP="00CE7E9A">
      <w:r>
        <w:lastRenderedPageBreak/>
        <w:t>Step 2: gNB 1 detects CLI based on UL performance degradation.</w:t>
      </w:r>
    </w:p>
    <w:p w14:paraId="05B06CB5" w14:textId="77777777" w:rsidR="00CE7E9A" w:rsidRDefault="00CE7E9A" w:rsidP="00CE7E9A">
      <w:r>
        <w:t>Step 3: gNB 1 sends its CLI-RS configuration to gNB 2.</w:t>
      </w:r>
    </w:p>
    <w:p w14:paraId="5C470F74" w14:textId="77777777" w:rsidR="00CE7E9A" w:rsidRDefault="00CE7E9A" w:rsidP="00CE7E9A">
      <w:r>
        <w:t>Step 4: gNB 1 starts transmitting periodic CSI-RS.</w:t>
      </w:r>
    </w:p>
    <w:p w14:paraId="2D28BBB8" w14:textId="77777777" w:rsidR="00CE7E9A" w:rsidRDefault="00CE7E9A" w:rsidP="00CE7E9A">
      <w:r>
        <w:t>Step 5: gNB2 e</w:t>
      </w:r>
      <w:r w:rsidRPr="00601DDD">
        <w:t>stimates the victim-to-aggressor channel by measuring the CLI-RS of the victim gNB</w:t>
      </w:r>
    </w:p>
    <w:p w14:paraId="0EB64EE0" w14:textId="7730FD97" w:rsidR="00CE7E9A" w:rsidRDefault="00CE7E9A" w:rsidP="00CE7E9A">
      <w:r>
        <w:t xml:space="preserve">Step 6: gNB 2 </w:t>
      </w:r>
      <w:r w:rsidR="00222B50" w:rsidRPr="005C3C3A">
        <w:rPr>
          <w:lang w:val="en-US"/>
        </w:rPr>
        <w:t>adjus</w:t>
      </w:r>
      <w:r w:rsidR="00222B50">
        <w:rPr>
          <w:lang w:val="en-US"/>
        </w:rPr>
        <w:t>ts</w:t>
      </w:r>
      <w:r w:rsidRPr="005C3C3A">
        <w:rPr>
          <w:lang w:val="en-US"/>
        </w:rPr>
        <w:t xml:space="preserve"> the DL precoder</w:t>
      </w:r>
      <w:r>
        <w:rPr>
          <w:lang w:val="en-US"/>
        </w:rPr>
        <w:t xml:space="preserve"> i</w:t>
      </w:r>
      <w:r w:rsidRPr="005C3C3A">
        <w:rPr>
          <w:lang w:val="en-US"/>
        </w:rPr>
        <w:t>f DL transmission uses the identified ag</w:t>
      </w:r>
      <w:r>
        <w:rPr>
          <w:lang w:val="en-US"/>
        </w:rPr>
        <w:t>g</w:t>
      </w:r>
      <w:r w:rsidRPr="005C3C3A">
        <w:rPr>
          <w:lang w:val="en-US"/>
        </w:rPr>
        <w:t>ressor beam</w:t>
      </w:r>
      <w:r>
        <w:t>.</w:t>
      </w:r>
    </w:p>
    <w:p w14:paraId="02FC905D" w14:textId="77777777" w:rsidR="00CE7E9A" w:rsidRDefault="00CE7E9A" w:rsidP="00CE7E9A"/>
    <w:p w14:paraId="2E3B00F9" w14:textId="0329CAB2" w:rsidR="00CE7E9A" w:rsidRDefault="00CE7E9A" w:rsidP="00CE7E9A">
      <w:r>
        <w:t>For beam pairing, we propose the following signalling flow as possible starting point for RAN3 discussion (</w:t>
      </w:r>
      <w:r>
        <w:fldChar w:fldCharType="begin"/>
      </w:r>
      <w:r>
        <w:instrText xml:space="preserve"> REF _Ref178717490 \h </w:instrText>
      </w:r>
      <w:r>
        <w:fldChar w:fldCharType="separate"/>
      </w:r>
      <w:r w:rsidRPr="007457AF">
        <w:t xml:space="preserve">Figure </w:t>
      </w:r>
      <w:r w:rsidRPr="007457AF">
        <w:rPr>
          <w:noProof/>
        </w:rPr>
        <w:t>3</w:t>
      </w:r>
      <w:r>
        <w:fldChar w:fldCharType="end"/>
      </w:r>
      <w:r>
        <w:t>)</w:t>
      </w:r>
      <w:r w:rsidR="00280A0C">
        <w:t xml:space="preserve">. Also this signalling flow is </w:t>
      </w:r>
      <w:r w:rsidR="00280A0C">
        <w:t>based on option 2 (</w:t>
      </w:r>
      <w:r w:rsidR="00280A0C" w:rsidRPr="00280A0C">
        <w:t>implicit CLI Mitigation Request</w:t>
      </w:r>
      <w:r w:rsidR="00280A0C">
        <w:t>)</w:t>
      </w:r>
      <w:r>
        <w:t>:</w:t>
      </w:r>
    </w:p>
    <w:p w14:paraId="28A12B59" w14:textId="77777777" w:rsidR="00CE7E9A" w:rsidRDefault="00CE7E9A" w:rsidP="0071672C">
      <w:pPr>
        <w:keepNext/>
      </w:pPr>
      <w:r>
        <w:object w:dxaOrig="9630" w:dyaOrig="10290" w14:anchorId="7F62E914">
          <v:shape id="_x0000_i1027" type="#_x0000_t75" style="width:481.5pt;height:514.5pt" o:ole="">
            <v:imagedata r:id="rId15" o:title=""/>
          </v:shape>
          <o:OLEObject Type="Embed" ProgID="Visio.Drawing.15" ShapeID="_x0000_i1027" DrawAspect="Content" ObjectID="_1789407639" r:id="rId16"/>
        </w:object>
      </w:r>
    </w:p>
    <w:p w14:paraId="4A08CC79" w14:textId="77777777" w:rsidR="00CE7E9A" w:rsidRPr="007457AF" w:rsidRDefault="00CE7E9A" w:rsidP="0071672C">
      <w:pPr>
        <w:pStyle w:val="Caption"/>
      </w:pPr>
      <w:bookmarkStart w:id="26" w:name="_Ref178717490"/>
      <w:r w:rsidRPr="007457AF">
        <w:rPr>
          <w:b w:val="0"/>
          <w:bCs w:val="0"/>
        </w:rPr>
        <w:t xml:space="preserve">Figure </w:t>
      </w:r>
      <w:r w:rsidRPr="0071672C">
        <w:rPr>
          <w:b w:val="0"/>
          <w:bCs w:val="0"/>
        </w:rPr>
        <w:fldChar w:fldCharType="begin"/>
      </w:r>
      <w:r w:rsidRPr="007457AF">
        <w:rPr>
          <w:b w:val="0"/>
          <w:bCs w:val="0"/>
        </w:rPr>
        <w:instrText xml:space="preserve"> SEQ Figure \* ARABIC </w:instrText>
      </w:r>
      <w:r w:rsidRPr="0071672C">
        <w:rPr>
          <w:b w:val="0"/>
          <w:bCs w:val="0"/>
        </w:rPr>
        <w:fldChar w:fldCharType="separate"/>
      </w:r>
      <w:r w:rsidRPr="007457AF">
        <w:rPr>
          <w:b w:val="0"/>
          <w:bCs w:val="0"/>
          <w:noProof/>
        </w:rPr>
        <w:t>3</w:t>
      </w:r>
      <w:r w:rsidRPr="0071672C">
        <w:rPr>
          <w:b w:val="0"/>
          <w:bCs w:val="0"/>
        </w:rPr>
        <w:fldChar w:fldCharType="end"/>
      </w:r>
      <w:bookmarkEnd w:id="26"/>
      <w:r>
        <w:rPr>
          <w:b w:val="0"/>
          <w:bCs w:val="0"/>
        </w:rPr>
        <w:t>: Example of inter-gNB signalling in support of beam pairing. Both gNB1 and gNB2 have activated SBFD. In this example a cell controlled by the gNB 1 is victim of gNB-to-gNB CLI originating in a cell (aggressor cell) controlled by gNB 2.</w:t>
      </w:r>
    </w:p>
    <w:p w14:paraId="4E992150" w14:textId="77777777" w:rsidR="00CE7E9A" w:rsidRDefault="00CE7E9A" w:rsidP="00CE7E9A"/>
    <w:p w14:paraId="639FCE5B" w14:textId="77777777" w:rsidR="00CE7E9A" w:rsidRDefault="00CE7E9A" w:rsidP="00CE7E9A">
      <w:r>
        <w:t xml:space="preserve">Step 1: Exchange of: </w:t>
      </w:r>
      <w:r w:rsidRPr="00D84644">
        <w:rPr>
          <w:lang w:val="en-US"/>
        </w:rPr>
        <w:t xml:space="preserve">SBFD </w:t>
      </w:r>
      <w:r>
        <w:rPr>
          <w:lang w:val="en-US"/>
        </w:rPr>
        <w:t xml:space="preserve">time and frequency </w:t>
      </w:r>
      <w:r w:rsidRPr="00D84644">
        <w:rPr>
          <w:lang w:val="en-US"/>
        </w:rPr>
        <w:t>configuration</w:t>
      </w:r>
      <w:r>
        <w:rPr>
          <w:lang w:val="en-US"/>
        </w:rPr>
        <w:t xml:space="preserve"> information; SSB information for CLI measurements. </w:t>
      </w:r>
    </w:p>
    <w:p w14:paraId="04BC602A" w14:textId="77777777" w:rsidR="00CE7E9A" w:rsidRDefault="00CE7E9A" w:rsidP="00CE7E9A">
      <w:r>
        <w:t xml:space="preserve">Step 2: </w:t>
      </w:r>
      <w:r w:rsidRPr="00BC2D34">
        <w:rPr>
          <w:lang w:val="en-US"/>
        </w:rPr>
        <w:t xml:space="preserve">If </w:t>
      </w:r>
      <w:r>
        <w:rPr>
          <w:lang w:val="en-US"/>
        </w:rPr>
        <w:t xml:space="preserve">gNB1 </w:t>
      </w:r>
      <w:r w:rsidRPr="00BC2D34">
        <w:rPr>
          <w:lang w:val="en-US"/>
        </w:rPr>
        <w:t>detect</w:t>
      </w:r>
      <w:r>
        <w:rPr>
          <w:lang w:val="en-US"/>
        </w:rPr>
        <w:t>s</w:t>
      </w:r>
      <w:r w:rsidRPr="00BC2D34">
        <w:rPr>
          <w:lang w:val="en-US"/>
        </w:rPr>
        <w:t xml:space="preserve"> CLI based on UL performance degradation, the gNB measures SSB-RSRP and identifies one or more aggressor cells / SSB beams</w:t>
      </w:r>
      <w:r>
        <w:rPr>
          <w:lang w:val="en-US"/>
        </w:rPr>
        <w:t>.</w:t>
      </w:r>
    </w:p>
    <w:p w14:paraId="49C1DC56" w14:textId="77777777" w:rsidR="00CE7E9A" w:rsidRDefault="00CE7E9A" w:rsidP="00CE7E9A">
      <w:r>
        <w:t xml:space="preserve">Step 3: gNB 1 </w:t>
      </w:r>
      <w:r>
        <w:rPr>
          <w:lang w:val="en-US"/>
        </w:rPr>
        <w:t>indicates</w:t>
      </w:r>
      <w:r w:rsidRPr="00BC2D34">
        <w:rPr>
          <w:lang w:val="en-US"/>
        </w:rPr>
        <w:t xml:space="preserve"> cell ID and SSB index with highest CLI</w:t>
      </w:r>
      <w:r>
        <w:rPr>
          <w:lang w:val="en-US"/>
        </w:rPr>
        <w:t xml:space="preserve"> to gNB 2 (potential aggressor gNB)</w:t>
      </w:r>
      <w:r>
        <w:t>.</w:t>
      </w:r>
    </w:p>
    <w:p w14:paraId="2D2EA81C" w14:textId="77777777" w:rsidR="00CE7E9A" w:rsidRDefault="00CE7E9A" w:rsidP="00CE7E9A">
      <w:r>
        <w:t>Step 4: gNB 2 sends CLI-RS configuration to gNB1.</w:t>
      </w:r>
    </w:p>
    <w:p w14:paraId="71F3FDFB" w14:textId="77777777" w:rsidR="00CE7E9A" w:rsidRDefault="00CE7E9A" w:rsidP="00CE7E9A">
      <w:r>
        <w:t>Step 5: gNB 2 starts transmitting periodic CSI-RS.</w:t>
      </w:r>
    </w:p>
    <w:p w14:paraId="38636EC9" w14:textId="77777777" w:rsidR="00CE7E9A" w:rsidRDefault="00CE7E9A" w:rsidP="00CE7E9A">
      <w:r>
        <w:t>Step 6: gNB1 p</w:t>
      </w:r>
      <w:r w:rsidRPr="00333F9F">
        <w:t xml:space="preserve">erforms per beam CLI measurements according to the </w:t>
      </w:r>
      <w:r>
        <w:t xml:space="preserve">(potential) </w:t>
      </w:r>
      <w:r w:rsidRPr="00333F9F">
        <w:t>aggressor CLI-RS</w:t>
      </w:r>
    </w:p>
    <w:p w14:paraId="599DDE60" w14:textId="77777777" w:rsidR="00CE7E9A" w:rsidRDefault="00CE7E9A" w:rsidP="00CE7E9A">
      <w:r>
        <w:t xml:space="preserve">Step 7: gNB2 indicates the </w:t>
      </w:r>
      <w:r w:rsidRPr="004868EA">
        <w:t>CRI with highest measured gNB-to-gNB CL</w:t>
      </w:r>
      <w:r>
        <w:t>I to the gNB1</w:t>
      </w:r>
    </w:p>
    <w:p w14:paraId="1868DC0C" w14:textId="77777777" w:rsidR="00CE7E9A" w:rsidRDefault="00CE7E9A" w:rsidP="00CE7E9A">
      <w:r>
        <w:t xml:space="preserve">Step 8: gNB2 </w:t>
      </w:r>
      <w:r w:rsidRPr="009D51ED">
        <w:rPr>
          <w:lang w:val="en-US"/>
        </w:rPr>
        <w:t>avoids DL scheduling in the identified CSI-RS beam during all SBFD slots</w:t>
      </w:r>
    </w:p>
    <w:p w14:paraId="09CE83AA" w14:textId="77777777" w:rsidR="00CE7E9A" w:rsidRDefault="00CE7E9A" w:rsidP="00CE7E9A"/>
    <w:p w14:paraId="529DD94A" w14:textId="77777777" w:rsidR="00CE7E9A" w:rsidRDefault="00CE7E9A" w:rsidP="00CE7E9A">
      <w:r>
        <w:t xml:space="preserve">The message flows </w:t>
      </w:r>
      <w:r w:rsidRPr="00CA73EC">
        <w:t xml:space="preserve">in </w:t>
      </w:r>
      <w:r w:rsidRPr="00CA73EC">
        <w:fldChar w:fldCharType="begin"/>
      </w:r>
      <w:r w:rsidRPr="00CA73EC">
        <w:instrText xml:space="preserve"> REF _Ref178578527 \h  \* MERGEFORMAT </w:instrText>
      </w:r>
      <w:r w:rsidRPr="00CA73EC">
        <w:fldChar w:fldCharType="separate"/>
      </w:r>
      <w:r w:rsidRPr="00CA73EC">
        <w:t xml:space="preserve">Figure </w:t>
      </w:r>
      <w:r w:rsidRPr="00CA73EC">
        <w:rPr>
          <w:noProof/>
        </w:rPr>
        <w:t>2</w:t>
      </w:r>
      <w:r w:rsidRPr="00CA73EC">
        <w:fldChar w:fldCharType="end"/>
      </w:r>
      <w:r>
        <w:t xml:space="preserve"> and </w:t>
      </w:r>
      <w:r>
        <w:fldChar w:fldCharType="begin"/>
      </w:r>
      <w:r>
        <w:instrText xml:space="preserve"> REF _Ref178717490 \h </w:instrText>
      </w:r>
      <w:r>
        <w:fldChar w:fldCharType="separate"/>
      </w:r>
      <w:r w:rsidRPr="00601DDD">
        <w:t xml:space="preserve">Figure </w:t>
      </w:r>
      <w:r w:rsidRPr="00601DDD">
        <w:rPr>
          <w:noProof/>
        </w:rPr>
        <w:t>3</w:t>
      </w:r>
      <w:r>
        <w:fldChar w:fldCharType="end"/>
      </w:r>
      <w:r>
        <w:t xml:space="preserve"> can be used to identify new solution elements to be introduced in the NG-RAN in Rel-19:</w:t>
      </w:r>
    </w:p>
    <w:p w14:paraId="0CA5BF22" w14:textId="77777777" w:rsidR="00CE7E9A" w:rsidRDefault="00CE7E9A" w:rsidP="00CE7E9A">
      <w:pPr>
        <w:numPr>
          <w:ilvl w:val="0"/>
          <w:numId w:val="10"/>
        </w:numPr>
      </w:pPr>
      <w:r>
        <w:t xml:space="preserve">Exchange over </w:t>
      </w:r>
      <w:proofErr w:type="spellStart"/>
      <w:r>
        <w:t>Xn</w:t>
      </w:r>
      <w:proofErr w:type="spellEnd"/>
      <w:r>
        <w:t xml:space="preserve"> of SBFD configuration</w:t>
      </w:r>
    </w:p>
    <w:p w14:paraId="4DA22742" w14:textId="77777777" w:rsidR="00CE7E9A" w:rsidRDefault="00CE7E9A" w:rsidP="00CE7E9A">
      <w:pPr>
        <w:numPr>
          <w:ilvl w:val="0"/>
          <w:numId w:val="10"/>
        </w:numPr>
      </w:pPr>
      <w:r>
        <w:t xml:space="preserve">Exchange over </w:t>
      </w:r>
      <w:proofErr w:type="spellStart"/>
      <w:r>
        <w:t>Xn</w:t>
      </w:r>
      <w:proofErr w:type="spellEnd"/>
      <w:r>
        <w:t xml:space="preserve"> of SSB configuration information for CLI measurements: Our current assumption is that legacy information is sufficient.</w:t>
      </w:r>
    </w:p>
    <w:p w14:paraId="60C8F9BF" w14:textId="77777777" w:rsidR="00CE7E9A" w:rsidRDefault="00CE7E9A" w:rsidP="00CE7E9A">
      <w:pPr>
        <w:numPr>
          <w:ilvl w:val="0"/>
          <w:numId w:val="10"/>
        </w:numPr>
      </w:pPr>
      <w:r>
        <w:t xml:space="preserve">CLI mitigation request information over </w:t>
      </w:r>
      <w:proofErr w:type="spellStart"/>
      <w:r>
        <w:t>Xn</w:t>
      </w:r>
      <w:proofErr w:type="spellEnd"/>
      <w:r>
        <w:t>:</w:t>
      </w:r>
    </w:p>
    <w:p w14:paraId="19220E5F" w14:textId="77777777" w:rsidR="00CE7E9A" w:rsidRPr="007C4118" w:rsidRDefault="00CE7E9A" w:rsidP="00CE7E9A">
      <w:pPr>
        <w:numPr>
          <w:ilvl w:val="1"/>
          <w:numId w:val="10"/>
        </w:numPr>
      </w:pPr>
      <w:r>
        <w:t xml:space="preserve">Beam nulling: </w:t>
      </w:r>
      <w:r w:rsidRPr="007C4118">
        <w:rPr>
          <w:lang w:val="en-US"/>
        </w:rPr>
        <w:t>Measurement resource indication (CLI-RS configuration)</w:t>
      </w:r>
    </w:p>
    <w:p w14:paraId="4A8E2143" w14:textId="77777777" w:rsidR="00CE7E9A" w:rsidRDefault="00CE7E9A" w:rsidP="00CE7E9A">
      <w:pPr>
        <w:numPr>
          <w:ilvl w:val="1"/>
          <w:numId w:val="10"/>
        </w:numPr>
      </w:pPr>
      <w:r>
        <w:rPr>
          <w:lang w:val="en-US"/>
        </w:rPr>
        <w:t xml:space="preserve">Beam pairing: </w:t>
      </w:r>
      <w:r w:rsidRPr="007C4118">
        <w:rPr>
          <w:lang w:val="en-US"/>
        </w:rPr>
        <w:t>Indication of CRI with highest measured gNB-to-gNB CLI</w:t>
      </w:r>
    </w:p>
    <w:p w14:paraId="5CFB3E97" w14:textId="4DEF8BBB" w:rsidR="00CE7E9A" w:rsidRDefault="00CE7E9A" w:rsidP="00CE7E9A">
      <w:r>
        <w:t xml:space="preserve">Based on the above, at this initial step, RAN3 may need to discuss and confirm introduction of the following </w:t>
      </w:r>
      <w:proofErr w:type="spellStart"/>
      <w:r>
        <w:t>XnAP</w:t>
      </w:r>
      <w:proofErr w:type="spellEnd"/>
      <w:r>
        <w:t xml:space="preserve"> signalling:</w:t>
      </w:r>
    </w:p>
    <w:p w14:paraId="6EA499B8" w14:textId="77777777" w:rsidR="00CE7E9A" w:rsidRPr="00254E32" w:rsidRDefault="00CE7E9A" w:rsidP="00CE7E9A">
      <w:pPr>
        <w:rPr>
          <w:b/>
          <w:bCs/>
        </w:rPr>
      </w:pPr>
      <w:r w:rsidRPr="00254E32">
        <w:rPr>
          <w:b/>
          <w:bCs/>
        </w:rPr>
        <w:t xml:space="preserve">Proposal </w:t>
      </w:r>
      <w:r>
        <w:rPr>
          <w:b/>
          <w:bCs/>
        </w:rPr>
        <w:t>2</w:t>
      </w:r>
      <w:r w:rsidRPr="00254E32">
        <w:rPr>
          <w:b/>
          <w:bCs/>
        </w:rPr>
        <w:t xml:space="preserve">: Introduce </w:t>
      </w:r>
      <w:proofErr w:type="spellStart"/>
      <w:r w:rsidRPr="00254E32">
        <w:rPr>
          <w:b/>
          <w:bCs/>
        </w:rPr>
        <w:t>Xn</w:t>
      </w:r>
      <w:proofErr w:type="spellEnd"/>
      <w:r w:rsidRPr="00254E32">
        <w:rPr>
          <w:b/>
          <w:bCs/>
        </w:rPr>
        <w:t xml:space="preserve"> signalling for exchange of SBFD configuration information.</w:t>
      </w:r>
    </w:p>
    <w:p w14:paraId="05823791" w14:textId="7A88EBF9" w:rsidR="00CE7E9A" w:rsidRPr="00B9797A" w:rsidRDefault="00CE7E9A" w:rsidP="00CE7E9A">
      <w:pPr>
        <w:rPr>
          <w:b/>
          <w:bCs/>
        </w:rPr>
      </w:pPr>
      <w:r w:rsidRPr="00254E32">
        <w:rPr>
          <w:b/>
          <w:bCs/>
        </w:rPr>
        <w:t xml:space="preserve">Proposal </w:t>
      </w:r>
      <w:r>
        <w:rPr>
          <w:b/>
          <w:bCs/>
        </w:rPr>
        <w:t>3</w:t>
      </w:r>
      <w:r w:rsidRPr="00254E32">
        <w:rPr>
          <w:b/>
          <w:bCs/>
        </w:rPr>
        <w:t xml:space="preserve">: Introduce new </w:t>
      </w:r>
      <w:proofErr w:type="spellStart"/>
      <w:r w:rsidRPr="00254E32">
        <w:rPr>
          <w:b/>
          <w:bCs/>
        </w:rPr>
        <w:t>XnAP</w:t>
      </w:r>
      <w:proofErr w:type="spellEnd"/>
      <w:r w:rsidRPr="00254E32">
        <w:rPr>
          <w:b/>
          <w:bCs/>
        </w:rPr>
        <w:t xml:space="preserve"> class 2 signalling procedure </w:t>
      </w:r>
      <w:r>
        <w:rPr>
          <w:b/>
          <w:bCs/>
        </w:rPr>
        <w:t xml:space="preserve">containing </w:t>
      </w:r>
      <w:r w:rsidRPr="007C4118">
        <w:rPr>
          <w:b/>
          <w:bCs/>
        </w:rPr>
        <w:t>CLI mitigation request information</w:t>
      </w:r>
      <w:r w:rsidRPr="00254E32">
        <w:rPr>
          <w:b/>
          <w:bCs/>
        </w:rPr>
        <w:t>.</w:t>
      </w:r>
    </w:p>
    <w:p w14:paraId="654870BA" w14:textId="4EE10ABC" w:rsidR="00CE7E9A" w:rsidRPr="006E13D1" w:rsidRDefault="00CE7E9A" w:rsidP="00CE7E9A">
      <w:pPr>
        <w:pStyle w:val="Heading1"/>
      </w:pPr>
      <w:r>
        <w:t>5</w:t>
      </w:r>
      <w:r w:rsidRPr="006E13D1">
        <w:tab/>
      </w:r>
      <w:r>
        <w:t>Conclusion</w:t>
      </w:r>
    </w:p>
    <w:p w14:paraId="27197C85" w14:textId="7F421E5A" w:rsidR="00CE7E9A" w:rsidRDefault="00CE7E9A" w:rsidP="00CE7E9A">
      <w:r>
        <w:t>We have made the following proposals:</w:t>
      </w:r>
    </w:p>
    <w:p w14:paraId="09399E3F" w14:textId="77777777" w:rsidR="00CE7E9A" w:rsidRPr="007C4118" w:rsidRDefault="00CE7E9A" w:rsidP="00CE7E9A">
      <w:pPr>
        <w:pStyle w:val="00BodyText"/>
        <w:rPr>
          <w:rFonts w:ascii="Times New Roman" w:hAnsi="Times New Roman"/>
          <w:b/>
          <w:bCs/>
          <w:sz w:val="20"/>
          <w:lang w:val="en-GB"/>
        </w:rPr>
      </w:pPr>
      <w:r w:rsidRPr="007C4118">
        <w:rPr>
          <w:rFonts w:ascii="Times New Roman" w:hAnsi="Times New Roman"/>
          <w:b/>
          <w:bCs/>
          <w:sz w:val="20"/>
          <w:lang w:val="en-GB"/>
        </w:rPr>
        <w:t>Proposal 1: RAN3 to discuss explicit vs. implicit CLI Mitigation Request and prioritize support of the implicit CLI Mitigation Request (option 2).</w:t>
      </w:r>
    </w:p>
    <w:p w14:paraId="02789ED2" w14:textId="77777777" w:rsidR="00CE7E9A" w:rsidRPr="00254E32" w:rsidRDefault="00CE7E9A" w:rsidP="00CE7E9A">
      <w:pPr>
        <w:rPr>
          <w:b/>
          <w:bCs/>
        </w:rPr>
      </w:pPr>
      <w:r w:rsidRPr="00254E32">
        <w:rPr>
          <w:b/>
          <w:bCs/>
        </w:rPr>
        <w:t xml:space="preserve">Proposal </w:t>
      </w:r>
      <w:r>
        <w:rPr>
          <w:b/>
          <w:bCs/>
        </w:rPr>
        <w:t>2</w:t>
      </w:r>
      <w:r w:rsidRPr="00254E32">
        <w:rPr>
          <w:b/>
          <w:bCs/>
        </w:rPr>
        <w:t xml:space="preserve">: Introduce </w:t>
      </w:r>
      <w:proofErr w:type="spellStart"/>
      <w:r w:rsidRPr="00254E32">
        <w:rPr>
          <w:b/>
          <w:bCs/>
        </w:rPr>
        <w:t>Xn</w:t>
      </w:r>
      <w:proofErr w:type="spellEnd"/>
      <w:r w:rsidRPr="00254E32">
        <w:rPr>
          <w:b/>
          <w:bCs/>
        </w:rPr>
        <w:t xml:space="preserve"> signalling for exchange of SBFD configuration information.</w:t>
      </w:r>
    </w:p>
    <w:p w14:paraId="6871A026" w14:textId="77777777" w:rsidR="00CE7E9A" w:rsidRPr="00254E32" w:rsidRDefault="00CE7E9A" w:rsidP="00CE7E9A">
      <w:pPr>
        <w:rPr>
          <w:b/>
          <w:bCs/>
        </w:rPr>
      </w:pPr>
      <w:r w:rsidRPr="00254E32">
        <w:rPr>
          <w:b/>
          <w:bCs/>
        </w:rPr>
        <w:t xml:space="preserve">Proposal </w:t>
      </w:r>
      <w:r>
        <w:rPr>
          <w:b/>
          <w:bCs/>
        </w:rPr>
        <w:t>3</w:t>
      </w:r>
      <w:r w:rsidRPr="00254E32">
        <w:rPr>
          <w:b/>
          <w:bCs/>
        </w:rPr>
        <w:t xml:space="preserve">: Introduce new </w:t>
      </w:r>
      <w:proofErr w:type="spellStart"/>
      <w:r w:rsidRPr="00254E32">
        <w:rPr>
          <w:b/>
          <w:bCs/>
        </w:rPr>
        <w:t>XnAP</w:t>
      </w:r>
      <w:proofErr w:type="spellEnd"/>
      <w:r w:rsidRPr="00254E32">
        <w:rPr>
          <w:b/>
          <w:bCs/>
        </w:rPr>
        <w:t xml:space="preserve"> class 2 signalling procedure </w:t>
      </w:r>
      <w:r>
        <w:rPr>
          <w:b/>
          <w:bCs/>
        </w:rPr>
        <w:t xml:space="preserve">containing </w:t>
      </w:r>
      <w:r w:rsidRPr="007C4118">
        <w:rPr>
          <w:b/>
          <w:bCs/>
        </w:rPr>
        <w:t>CLI mitigation request information</w:t>
      </w:r>
      <w:r w:rsidRPr="00254E32">
        <w:rPr>
          <w:b/>
          <w:bCs/>
        </w:rPr>
        <w:t>.</w:t>
      </w:r>
    </w:p>
    <w:p w14:paraId="193FD945" w14:textId="77777777" w:rsidR="00CE7E9A" w:rsidRPr="006E13D1" w:rsidRDefault="00CE7E9A" w:rsidP="00CE7E9A">
      <w:pPr>
        <w:pStyle w:val="Heading1"/>
      </w:pPr>
      <w:r w:rsidRPr="006E13D1">
        <w:t>References</w:t>
      </w:r>
    </w:p>
    <w:p w14:paraId="455ABEB4" w14:textId="3F679D77" w:rsidR="00CE7E9A" w:rsidRPr="006E13D1" w:rsidRDefault="00CE7E9A" w:rsidP="00CE7E9A">
      <w:pPr>
        <w:overflowPunct w:val="0"/>
        <w:autoSpaceDE w:val="0"/>
        <w:autoSpaceDN w:val="0"/>
        <w:adjustRightInd w:val="0"/>
        <w:ind w:left="567" w:hanging="567"/>
        <w:textAlignment w:val="baseline"/>
      </w:pPr>
      <w:bookmarkStart w:id="27" w:name="_Ref75086397"/>
      <w:r>
        <w:t>[1]</w:t>
      </w:r>
      <w:r>
        <w:tab/>
      </w:r>
      <w:r>
        <w:tab/>
        <w:t>RP-241614</w:t>
      </w:r>
      <w:r w:rsidRPr="006E13D1">
        <w:t xml:space="preserve">, </w:t>
      </w:r>
      <w:r w:rsidRPr="004E03EB">
        <w:rPr>
          <w:i/>
          <w:iCs/>
        </w:rPr>
        <w:t>Revised WID: Evolution of NR duplex operation: Sub-band full duplex (SBFD)</w:t>
      </w:r>
      <w:r w:rsidRPr="006E13D1">
        <w:t xml:space="preserve">, </w:t>
      </w:r>
      <w:r>
        <w:t>approved at RAN#104</w:t>
      </w:r>
    </w:p>
    <w:p w14:paraId="0BA2BD6A" w14:textId="2B0BB0C3" w:rsidR="00080512" w:rsidRPr="00CE7E9A" w:rsidRDefault="00CE7E9A" w:rsidP="00B9797A">
      <w:pPr>
        <w:overflowPunct w:val="0"/>
        <w:autoSpaceDE w:val="0"/>
        <w:autoSpaceDN w:val="0"/>
        <w:adjustRightInd w:val="0"/>
        <w:ind w:left="567" w:hanging="567"/>
        <w:textAlignment w:val="baseline"/>
      </w:pPr>
      <w:r>
        <w:t>[2]</w:t>
      </w:r>
      <w:r>
        <w:tab/>
      </w:r>
      <w:r>
        <w:tab/>
        <w:t>R1-</w:t>
      </w:r>
      <w:r w:rsidRPr="00B66C39">
        <w:t>2407533</w:t>
      </w:r>
      <w:r>
        <w:t xml:space="preserve"> - R3-245006</w:t>
      </w:r>
      <w:r w:rsidRPr="006E13D1">
        <w:t xml:space="preserve">, </w:t>
      </w:r>
      <w:r w:rsidRPr="00B66C39">
        <w:rPr>
          <w:i/>
          <w:iCs/>
        </w:rPr>
        <w:t xml:space="preserve">LS to RAN3 on PHY/L1 aspects of information exchange among </w:t>
      </w:r>
      <w:proofErr w:type="spellStart"/>
      <w:r w:rsidRPr="00B66C39">
        <w:rPr>
          <w:i/>
          <w:iCs/>
        </w:rPr>
        <w:t>gNBs</w:t>
      </w:r>
      <w:proofErr w:type="spellEnd"/>
      <w:r w:rsidRPr="00B66C39">
        <w:rPr>
          <w:i/>
          <w:iCs/>
        </w:rPr>
        <w:t xml:space="preserve"> for CLI mitigation</w:t>
      </w:r>
      <w:r>
        <w:t>, from RAN1 to RAN3 cc RAN2</w:t>
      </w:r>
      <w:bookmarkEnd w:id="0"/>
      <w:bookmarkEnd w:id="27"/>
    </w:p>
    <w:sectPr w:rsidR="00080512" w:rsidRPr="00CE7E9A" w:rsidSect="00CE7E9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4A7B6" w14:textId="77777777" w:rsidR="00CB0A0B" w:rsidRDefault="00CB0A0B">
      <w:r>
        <w:separator/>
      </w:r>
    </w:p>
  </w:endnote>
  <w:endnote w:type="continuationSeparator" w:id="0">
    <w:p w14:paraId="637F79DD" w14:textId="77777777" w:rsidR="00CB0A0B" w:rsidRDefault="00CB0A0B">
      <w:r>
        <w:continuationSeparator/>
      </w:r>
    </w:p>
  </w:endnote>
  <w:endnote w:type="continuationNotice" w:id="1">
    <w:p w14:paraId="533E70EC" w14:textId="77777777" w:rsidR="00CB0A0B" w:rsidRDefault="00CB0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74969C" w14:textId="77777777" w:rsidR="00CB0A0B" w:rsidRDefault="00CB0A0B">
      <w:r>
        <w:separator/>
      </w:r>
    </w:p>
  </w:footnote>
  <w:footnote w:type="continuationSeparator" w:id="0">
    <w:p w14:paraId="7E49B305" w14:textId="77777777" w:rsidR="00CB0A0B" w:rsidRDefault="00CB0A0B">
      <w:r>
        <w:continuationSeparator/>
      </w:r>
    </w:p>
  </w:footnote>
  <w:footnote w:type="continuationNotice" w:id="1">
    <w:p w14:paraId="176B7E52" w14:textId="77777777" w:rsidR="00CB0A0B" w:rsidRDefault="00CB0A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71B6F"/>
    <w:multiLevelType w:val="hybridMultilevel"/>
    <w:tmpl w:val="32AA126E"/>
    <w:lvl w:ilvl="0" w:tplc="72D2446C">
      <w:start w:val="1"/>
      <w:numFmt w:val="decimal"/>
      <w:lvlText w:val="%1)"/>
      <w:lvlJc w:val="left"/>
      <w:pPr>
        <w:ind w:left="1020" w:hanging="360"/>
      </w:pPr>
    </w:lvl>
    <w:lvl w:ilvl="1" w:tplc="35CEAD38">
      <w:start w:val="1"/>
      <w:numFmt w:val="decimal"/>
      <w:lvlText w:val="%2)"/>
      <w:lvlJc w:val="left"/>
      <w:pPr>
        <w:ind w:left="1020" w:hanging="360"/>
      </w:pPr>
    </w:lvl>
    <w:lvl w:ilvl="2" w:tplc="C98CA796">
      <w:start w:val="1"/>
      <w:numFmt w:val="decimal"/>
      <w:lvlText w:val="%3)"/>
      <w:lvlJc w:val="left"/>
      <w:pPr>
        <w:ind w:left="1020" w:hanging="360"/>
      </w:pPr>
    </w:lvl>
    <w:lvl w:ilvl="3" w:tplc="D7488140">
      <w:start w:val="1"/>
      <w:numFmt w:val="decimal"/>
      <w:lvlText w:val="%4)"/>
      <w:lvlJc w:val="left"/>
      <w:pPr>
        <w:ind w:left="1020" w:hanging="360"/>
      </w:pPr>
    </w:lvl>
    <w:lvl w:ilvl="4" w:tplc="EC5E7276">
      <w:start w:val="1"/>
      <w:numFmt w:val="decimal"/>
      <w:lvlText w:val="%5)"/>
      <w:lvlJc w:val="left"/>
      <w:pPr>
        <w:ind w:left="1020" w:hanging="360"/>
      </w:pPr>
    </w:lvl>
    <w:lvl w:ilvl="5" w:tplc="7A2A3BB8">
      <w:start w:val="1"/>
      <w:numFmt w:val="decimal"/>
      <w:lvlText w:val="%6)"/>
      <w:lvlJc w:val="left"/>
      <w:pPr>
        <w:ind w:left="1020" w:hanging="360"/>
      </w:pPr>
    </w:lvl>
    <w:lvl w:ilvl="6" w:tplc="707EF776">
      <w:start w:val="1"/>
      <w:numFmt w:val="decimal"/>
      <w:lvlText w:val="%7)"/>
      <w:lvlJc w:val="left"/>
      <w:pPr>
        <w:ind w:left="1020" w:hanging="360"/>
      </w:pPr>
    </w:lvl>
    <w:lvl w:ilvl="7" w:tplc="EF9CE906">
      <w:start w:val="1"/>
      <w:numFmt w:val="decimal"/>
      <w:lvlText w:val="%8)"/>
      <w:lvlJc w:val="left"/>
      <w:pPr>
        <w:ind w:left="1020" w:hanging="360"/>
      </w:pPr>
    </w:lvl>
    <w:lvl w:ilvl="8" w:tplc="0A7EDCBC">
      <w:start w:val="1"/>
      <w:numFmt w:val="decimal"/>
      <w:lvlText w:val="%9)"/>
      <w:lvlJc w:val="left"/>
      <w:pPr>
        <w:ind w:left="1020" w:hanging="360"/>
      </w:pPr>
    </w:lvl>
  </w:abstractNum>
  <w:abstractNum w:abstractNumId="3" w15:restartNumberingAfterBreak="0">
    <w:nsid w:val="0F4A3382"/>
    <w:multiLevelType w:val="hybridMultilevel"/>
    <w:tmpl w:val="68D4F3B2"/>
    <w:lvl w:ilvl="0" w:tplc="B5C0F476">
      <w:start w:val="1"/>
      <w:numFmt w:val="decimal"/>
      <w:lvlText w:val="%1)"/>
      <w:lvlJc w:val="left"/>
      <w:pPr>
        <w:ind w:left="1020" w:hanging="360"/>
      </w:pPr>
    </w:lvl>
    <w:lvl w:ilvl="1" w:tplc="DD9C322C">
      <w:start w:val="1"/>
      <w:numFmt w:val="decimal"/>
      <w:lvlText w:val="%2)"/>
      <w:lvlJc w:val="left"/>
      <w:pPr>
        <w:ind w:left="1020" w:hanging="360"/>
      </w:pPr>
    </w:lvl>
    <w:lvl w:ilvl="2" w:tplc="41163DA6">
      <w:start w:val="1"/>
      <w:numFmt w:val="decimal"/>
      <w:lvlText w:val="%3)"/>
      <w:lvlJc w:val="left"/>
      <w:pPr>
        <w:ind w:left="1020" w:hanging="360"/>
      </w:pPr>
    </w:lvl>
    <w:lvl w:ilvl="3" w:tplc="9D66C220">
      <w:start w:val="1"/>
      <w:numFmt w:val="decimal"/>
      <w:lvlText w:val="%4)"/>
      <w:lvlJc w:val="left"/>
      <w:pPr>
        <w:ind w:left="1020" w:hanging="360"/>
      </w:pPr>
    </w:lvl>
    <w:lvl w:ilvl="4" w:tplc="F72AA210">
      <w:start w:val="1"/>
      <w:numFmt w:val="decimal"/>
      <w:lvlText w:val="%5)"/>
      <w:lvlJc w:val="left"/>
      <w:pPr>
        <w:ind w:left="1020" w:hanging="360"/>
      </w:pPr>
    </w:lvl>
    <w:lvl w:ilvl="5" w:tplc="CA383C7E">
      <w:start w:val="1"/>
      <w:numFmt w:val="decimal"/>
      <w:lvlText w:val="%6)"/>
      <w:lvlJc w:val="left"/>
      <w:pPr>
        <w:ind w:left="1020" w:hanging="360"/>
      </w:pPr>
    </w:lvl>
    <w:lvl w:ilvl="6" w:tplc="2D42B662">
      <w:start w:val="1"/>
      <w:numFmt w:val="decimal"/>
      <w:lvlText w:val="%7)"/>
      <w:lvlJc w:val="left"/>
      <w:pPr>
        <w:ind w:left="1020" w:hanging="360"/>
      </w:pPr>
    </w:lvl>
    <w:lvl w:ilvl="7" w:tplc="7C82FC46">
      <w:start w:val="1"/>
      <w:numFmt w:val="decimal"/>
      <w:lvlText w:val="%8)"/>
      <w:lvlJc w:val="left"/>
      <w:pPr>
        <w:ind w:left="1020" w:hanging="360"/>
      </w:pPr>
    </w:lvl>
    <w:lvl w:ilvl="8" w:tplc="BCAA74F6">
      <w:start w:val="1"/>
      <w:numFmt w:val="decimal"/>
      <w:lvlText w:val="%9)"/>
      <w:lvlJc w:val="left"/>
      <w:pPr>
        <w:ind w:left="1020" w:hanging="360"/>
      </w:p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6275CD1"/>
    <w:multiLevelType w:val="hybridMultilevel"/>
    <w:tmpl w:val="0F16FD98"/>
    <w:lvl w:ilvl="0" w:tplc="42DECCD0">
      <w:start w:val="1"/>
      <w:numFmt w:val="decimal"/>
      <w:lvlText w:val="%1)"/>
      <w:lvlJc w:val="left"/>
      <w:pPr>
        <w:ind w:left="1020" w:hanging="360"/>
      </w:pPr>
    </w:lvl>
    <w:lvl w:ilvl="1" w:tplc="F9B2C36E">
      <w:start w:val="1"/>
      <w:numFmt w:val="decimal"/>
      <w:lvlText w:val="%2)"/>
      <w:lvlJc w:val="left"/>
      <w:pPr>
        <w:ind w:left="1020" w:hanging="360"/>
      </w:pPr>
    </w:lvl>
    <w:lvl w:ilvl="2" w:tplc="CF322802">
      <w:start w:val="1"/>
      <w:numFmt w:val="decimal"/>
      <w:lvlText w:val="%3)"/>
      <w:lvlJc w:val="left"/>
      <w:pPr>
        <w:ind w:left="1020" w:hanging="360"/>
      </w:pPr>
    </w:lvl>
    <w:lvl w:ilvl="3" w:tplc="62C6D708">
      <w:start w:val="1"/>
      <w:numFmt w:val="decimal"/>
      <w:lvlText w:val="%4)"/>
      <w:lvlJc w:val="left"/>
      <w:pPr>
        <w:ind w:left="1020" w:hanging="360"/>
      </w:pPr>
    </w:lvl>
    <w:lvl w:ilvl="4" w:tplc="D384F60C">
      <w:start w:val="1"/>
      <w:numFmt w:val="decimal"/>
      <w:lvlText w:val="%5)"/>
      <w:lvlJc w:val="left"/>
      <w:pPr>
        <w:ind w:left="1020" w:hanging="360"/>
      </w:pPr>
    </w:lvl>
    <w:lvl w:ilvl="5" w:tplc="B3D47C66">
      <w:start w:val="1"/>
      <w:numFmt w:val="decimal"/>
      <w:lvlText w:val="%6)"/>
      <w:lvlJc w:val="left"/>
      <w:pPr>
        <w:ind w:left="1020" w:hanging="360"/>
      </w:pPr>
    </w:lvl>
    <w:lvl w:ilvl="6" w:tplc="BC5476D2">
      <w:start w:val="1"/>
      <w:numFmt w:val="decimal"/>
      <w:lvlText w:val="%7)"/>
      <w:lvlJc w:val="left"/>
      <w:pPr>
        <w:ind w:left="1020" w:hanging="360"/>
      </w:pPr>
    </w:lvl>
    <w:lvl w:ilvl="7" w:tplc="C26899F8">
      <w:start w:val="1"/>
      <w:numFmt w:val="decimal"/>
      <w:lvlText w:val="%8)"/>
      <w:lvlJc w:val="left"/>
      <w:pPr>
        <w:ind w:left="1020" w:hanging="360"/>
      </w:pPr>
    </w:lvl>
    <w:lvl w:ilvl="8" w:tplc="6D3AA872">
      <w:start w:val="1"/>
      <w:numFmt w:val="decimal"/>
      <w:lvlText w:val="%9)"/>
      <w:lvlJc w:val="left"/>
      <w:pPr>
        <w:ind w:left="1020" w:hanging="360"/>
      </w:pPr>
    </w:lvl>
  </w:abstractNum>
  <w:abstractNum w:abstractNumId="6" w15:restartNumberingAfterBreak="0">
    <w:nsid w:val="303D4147"/>
    <w:multiLevelType w:val="hybridMultilevel"/>
    <w:tmpl w:val="03AE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F10430"/>
    <w:multiLevelType w:val="hybridMultilevel"/>
    <w:tmpl w:val="27069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21EE4"/>
    <w:multiLevelType w:val="hybridMultilevel"/>
    <w:tmpl w:val="99D65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63A6B"/>
    <w:multiLevelType w:val="hybridMultilevel"/>
    <w:tmpl w:val="C7104614"/>
    <w:lvl w:ilvl="0" w:tplc="F9B8C9AA">
      <w:start w:val="1"/>
      <w:numFmt w:val="decimal"/>
      <w:lvlText w:val="%1)"/>
      <w:lvlJc w:val="left"/>
      <w:pPr>
        <w:ind w:left="1020" w:hanging="360"/>
      </w:pPr>
    </w:lvl>
    <w:lvl w:ilvl="1" w:tplc="0E82D28A">
      <w:start w:val="1"/>
      <w:numFmt w:val="decimal"/>
      <w:lvlText w:val="%2)"/>
      <w:lvlJc w:val="left"/>
      <w:pPr>
        <w:ind w:left="1020" w:hanging="360"/>
      </w:pPr>
    </w:lvl>
    <w:lvl w:ilvl="2" w:tplc="93104936">
      <w:start w:val="1"/>
      <w:numFmt w:val="decimal"/>
      <w:lvlText w:val="%3)"/>
      <w:lvlJc w:val="left"/>
      <w:pPr>
        <w:ind w:left="1020" w:hanging="360"/>
      </w:pPr>
    </w:lvl>
    <w:lvl w:ilvl="3" w:tplc="12D85B22">
      <w:start w:val="1"/>
      <w:numFmt w:val="decimal"/>
      <w:lvlText w:val="%4)"/>
      <w:lvlJc w:val="left"/>
      <w:pPr>
        <w:ind w:left="1020" w:hanging="360"/>
      </w:pPr>
    </w:lvl>
    <w:lvl w:ilvl="4" w:tplc="862EFB20">
      <w:start w:val="1"/>
      <w:numFmt w:val="decimal"/>
      <w:lvlText w:val="%5)"/>
      <w:lvlJc w:val="left"/>
      <w:pPr>
        <w:ind w:left="1020" w:hanging="360"/>
      </w:pPr>
    </w:lvl>
    <w:lvl w:ilvl="5" w:tplc="BFFA8B16">
      <w:start w:val="1"/>
      <w:numFmt w:val="decimal"/>
      <w:lvlText w:val="%6)"/>
      <w:lvlJc w:val="left"/>
      <w:pPr>
        <w:ind w:left="1020" w:hanging="360"/>
      </w:pPr>
    </w:lvl>
    <w:lvl w:ilvl="6" w:tplc="3A0C28D4">
      <w:start w:val="1"/>
      <w:numFmt w:val="decimal"/>
      <w:lvlText w:val="%7)"/>
      <w:lvlJc w:val="left"/>
      <w:pPr>
        <w:ind w:left="1020" w:hanging="360"/>
      </w:pPr>
    </w:lvl>
    <w:lvl w:ilvl="7" w:tplc="AB4C086E">
      <w:start w:val="1"/>
      <w:numFmt w:val="decimal"/>
      <w:lvlText w:val="%8)"/>
      <w:lvlJc w:val="left"/>
      <w:pPr>
        <w:ind w:left="1020" w:hanging="360"/>
      </w:pPr>
    </w:lvl>
    <w:lvl w:ilvl="8" w:tplc="CBF87A04">
      <w:start w:val="1"/>
      <w:numFmt w:val="decimal"/>
      <w:lvlText w:val="%9)"/>
      <w:lvlJc w:val="left"/>
      <w:pPr>
        <w:ind w:left="1020" w:hanging="360"/>
      </w:pPr>
    </w:lvl>
  </w:abstractNum>
  <w:abstractNum w:abstractNumId="11" w15:restartNumberingAfterBreak="0">
    <w:nsid w:val="55404C8C"/>
    <w:multiLevelType w:val="hybridMultilevel"/>
    <w:tmpl w:val="C2EEB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21CB4"/>
    <w:multiLevelType w:val="hybridMultilevel"/>
    <w:tmpl w:val="BC8A9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8772EB"/>
    <w:multiLevelType w:val="hybridMultilevel"/>
    <w:tmpl w:val="D354D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7"/>
  </w:num>
  <w:num w:numId="5" w16cid:durableId="1357275277">
    <w:abstractNumId w:val="4"/>
  </w:num>
  <w:num w:numId="6" w16cid:durableId="786697274">
    <w:abstractNumId w:val="9"/>
  </w:num>
  <w:num w:numId="7" w16cid:durableId="344213293">
    <w:abstractNumId w:val="11"/>
  </w:num>
  <w:num w:numId="8" w16cid:durableId="219563003">
    <w:abstractNumId w:val="6"/>
  </w:num>
  <w:num w:numId="9" w16cid:durableId="1437023968">
    <w:abstractNumId w:val="13"/>
  </w:num>
  <w:num w:numId="10" w16cid:durableId="341204242">
    <w:abstractNumId w:val="8"/>
  </w:num>
  <w:num w:numId="11" w16cid:durableId="2127843658">
    <w:abstractNumId w:val="12"/>
  </w:num>
  <w:num w:numId="12" w16cid:durableId="1755784269">
    <w:abstractNumId w:val="5"/>
  </w:num>
  <w:num w:numId="13" w16cid:durableId="1109472499">
    <w:abstractNumId w:val="10"/>
  </w:num>
  <w:num w:numId="14" w16cid:durableId="1640184469">
    <w:abstractNumId w:val="2"/>
  </w:num>
  <w:num w:numId="15" w16cid:durableId="10263717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5"/>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0361"/>
    <w:rsid w:val="000052A3"/>
    <w:rsid w:val="00012925"/>
    <w:rsid w:val="00030516"/>
    <w:rsid w:val="00030DA5"/>
    <w:rsid w:val="00033397"/>
    <w:rsid w:val="000342C7"/>
    <w:rsid w:val="0003634A"/>
    <w:rsid w:val="00040095"/>
    <w:rsid w:val="00050298"/>
    <w:rsid w:val="0005563E"/>
    <w:rsid w:val="00056274"/>
    <w:rsid w:val="00057C47"/>
    <w:rsid w:val="000648BF"/>
    <w:rsid w:val="00080512"/>
    <w:rsid w:val="00083F0D"/>
    <w:rsid w:val="000844D0"/>
    <w:rsid w:val="00086EC9"/>
    <w:rsid w:val="00091634"/>
    <w:rsid w:val="00096EB7"/>
    <w:rsid w:val="000A0953"/>
    <w:rsid w:val="000B7BCF"/>
    <w:rsid w:val="000C14EC"/>
    <w:rsid w:val="000C556D"/>
    <w:rsid w:val="000C763F"/>
    <w:rsid w:val="000D15B2"/>
    <w:rsid w:val="000D376D"/>
    <w:rsid w:val="000D58AB"/>
    <w:rsid w:val="000F372E"/>
    <w:rsid w:val="00104BD9"/>
    <w:rsid w:val="001075B7"/>
    <w:rsid w:val="001159E4"/>
    <w:rsid w:val="00115AD1"/>
    <w:rsid w:val="0012692D"/>
    <w:rsid w:val="001370F2"/>
    <w:rsid w:val="0014171E"/>
    <w:rsid w:val="00147351"/>
    <w:rsid w:val="0015136D"/>
    <w:rsid w:val="00151E85"/>
    <w:rsid w:val="001549DD"/>
    <w:rsid w:val="001550D6"/>
    <w:rsid w:val="00156D28"/>
    <w:rsid w:val="00165429"/>
    <w:rsid w:val="00175675"/>
    <w:rsid w:val="0017573D"/>
    <w:rsid w:val="0017592E"/>
    <w:rsid w:val="001774BA"/>
    <w:rsid w:val="001825E1"/>
    <w:rsid w:val="00194CD0"/>
    <w:rsid w:val="0019530A"/>
    <w:rsid w:val="001A396C"/>
    <w:rsid w:val="001B08B3"/>
    <w:rsid w:val="001B523F"/>
    <w:rsid w:val="001B5A2D"/>
    <w:rsid w:val="001C2826"/>
    <w:rsid w:val="001C4281"/>
    <w:rsid w:val="001C6E55"/>
    <w:rsid w:val="001D0D3F"/>
    <w:rsid w:val="001D6395"/>
    <w:rsid w:val="001D73EF"/>
    <w:rsid w:val="001E1AA0"/>
    <w:rsid w:val="001E39D1"/>
    <w:rsid w:val="001E3A2A"/>
    <w:rsid w:val="001F12C5"/>
    <w:rsid w:val="001F168B"/>
    <w:rsid w:val="001F70B7"/>
    <w:rsid w:val="0020016D"/>
    <w:rsid w:val="00201F98"/>
    <w:rsid w:val="002063B0"/>
    <w:rsid w:val="002129A6"/>
    <w:rsid w:val="00222B50"/>
    <w:rsid w:val="00225F6D"/>
    <w:rsid w:val="0022606D"/>
    <w:rsid w:val="002305DD"/>
    <w:rsid w:val="00236785"/>
    <w:rsid w:val="00242C2A"/>
    <w:rsid w:val="00243BC7"/>
    <w:rsid w:val="00254DDF"/>
    <w:rsid w:val="00254E32"/>
    <w:rsid w:val="0026180B"/>
    <w:rsid w:val="002623FC"/>
    <w:rsid w:val="00265C7C"/>
    <w:rsid w:val="002719D7"/>
    <w:rsid w:val="002721CB"/>
    <w:rsid w:val="00272FEB"/>
    <w:rsid w:val="002747EC"/>
    <w:rsid w:val="00280A0C"/>
    <w:rsid w:val="0028179A"/>
    <w:rsid w:val="00281FF5"/>
    <w:rsid w:val="002855BF"/>
    <w:rsid w:val="002952D0"/>
    <w:rsid w:val="002953B2"/>
    <w:rsid w:val="002B0B54"/>
    <w:rsid w:val="002B15AA"/>
    <w:rsid w:val="002B5083"/>
    <w:rsid w:val="002B6AB9"/>
    <w:rsid w:val="002C1510"/>
    <w:rsid w:val="002C1BAA"/>
    <w:rsid w:val="002C4E7D"/>
    <w:rsid w:val="002D0505"/>
    <w:rsid w:val="002E1692"/>
    <w:rsid w:val="002E471D"/>
    <w:rsid w:val="002E49E8"/>
    <w:rsid w:val="002E6450"/>
    <w:rsid w:val="002F022C"/>
    <w:rsid w:val="002F0CB8"/>
    <w:rsid w:val="002F0D22"/>
    <w:rsid w:val="002F4C0D"/>
    <w:rsid w:val="003076B4"/>
    <w:rsid w:val="003172DC"/>
    <w:rsid w:val="003200D7"/>
    <w:rsid w:val="003227B5"/>
    <w:rsid w:val="00326069"/>
    <w:rsid w:val="003263F6"/>
    <w:rsid w:val="003454FC"/>
    <w:rsid w:val="00352E0F"/>
    <w:rsid w:val="0035462D"/>
    <w:rsid w:val="00356C77"/>
    <w:rsid w:val="00360D4B"/>
    <w:rsid w:val="00363177"/>
    <w:rsid w:val="003702F7"/>
    <w:rsid w:val="0038464C"/>
    <w:rsid w:val="00385DAF"/>
    <w:rsid w:val="003974C9"/>
    <w:rsid w:val="003B3FB3"/>
    <w:rsid w:val="003C3C6F"/>
    <w:rsid w:val="003C45A0"/>
    <w:rsid w:val="003C4E37"/>
    <w:rsid w:val="003C60D5"/>
    <w:rsid w:val="003C7010"/>
    <w:rsid w:val="003D4ABB"/>
    <w:rsid w:val="003D6618"/>
    <w:rsid w:val="003E1194"/>
    <w:rsid w:val="003E16BE"/>
    <w:rsid w:val="003E29E5"/>
    <w:rsid w:val="003E7223"/>
    <w:rsid w:val="0040142E"/>
    <w:rsid w:val="00401855"/>
    <w:rsid w:val="00403886"/>
    <w:rsid w:val="00424BF0"/>
    <w:rsid w:val="00426552"/>
    <w:rsid w:val="00426BE9"/>
    <w:rsid w:val="0043047E"/>
    <w:rsid w:val="00430698"/>
    <w:rsid w:val="004439D7"/>
    <w:rsid w:val="00444244"/>
    <w:rsid w:val="0045337C"/>
    <w:rsid w:val="004553AA"/>
    <w:rsid w:val="004635BA"/>
    <w:rsid w:val="00464695"/>
    <w:rsid w:val="00464A25"/>
    <w:rsid w:val="004740B7"/>
    <w:rsid w:val="00477783"/>
    <w:rsid w:val="00481768"/>
    <w:rsid w:val="00494ED8"/>
    <w:rsid w:val="004A25BA"/>
    <w:rsid w:val="004A42B2"/>
    <w:rsid w:val="004C0306"/>
    <w:rsid w:val="004C2B2C"/>
    <w:rsid w:val="004C3C47"/>
    <w:rsid w:val="004C5539"/>
    <w:rsid w:val="004C6E65"/>
    <w:rsid w:val="004D3578"/>
    <w:rsid w:val="004D380D"/>
    <w:rsid w:val="004D3F58"/>
    <w:rsid w:val="004D5AA2"/>
    <w:rsid w:val="004D5E47"/>
    <w:rsid w:val="004D6347"/>
    <w:rsid w:val="004E03EB"/>
    <w:rsid w:val="004E213A"/>
    <w:rsid w:val="004E21FC"/>
    <w:rsid w:val="004E2294"/>
    <w:rsid w:val="004F27FD"/>
    <w:rsid w:val="00501BC0"/>
    <w:rsid w:val="00503171"/>
    <w:rsid w:val="00504E08"/>
    <w:rsid w:val="005108F8"/>
    <w:rsid w:val="0051163B"/>
    <w:rsid w:val="00511EA0"/>
    <w:rsid w:val="00513458"/>
    <w:rsid w:val="005153FE"/>
    <w:rsid w:val="005240A4"/>
    <w:rsid w:val="0053069E"/>
    <w:rsid w:val="00530F46"/>
    <w:rsid w:val="00531C12"/>
    <w:rsid w:val="0053446F"/>
    <w:rsid w:val="00534DA0"/>
    <w:rsid w:val="00540B31"/>
    <w:rsid w:val="00540C02"/>
    <w:rsid w:val="00542389"/>
    <w:rsid w:val="00543E6C"/>
    <w:rsid w:val="00544635"/>
    <w:rsid w:val="005573C8"/>
    <w:rsid w:val="00562076"/>
    <w:rsid w:val="00565087"/>
    <w:rsid w:val="0056573F"/>
    <w:rsid w:val="00565BE9"/>
    <w:rsid w:val="00571CE2"/>
    <w:rsid w:val="00576BEF"/>
    <w:rsid w:val="005843E6"/>
    <w:rsid w:val="005907E3"/>
    <w:rsid w:val="00591391"/>
    <w:rsid w:val="005A27D5"/>
    <w:rsid w:val="005A4971"/>
    <w:rsid w:val="005B1232"/>
    <w:rsid w:val="005B212D"/>
    <w:rsid w:val="005B2A23"/>
    <w:rsid w:val="005B2EEF"/>
    <w:rsid w:val="005C3C3A"/>
    <w:rsid w:val="005D4274"/>
    <w:rsid w:val="005D65CF"/>
    <w:rsid w:val="005E2BEF"/>
    <w:rsid w:val="005E2D78"/>
    <w:rsid w:val="005F34FF"/>
    <w:rsid w:val="00605E3E"/>
    <w:rsid w:val="00606DA9"/>
    <w:rsid w:val="00611566"/>
    <w:rsid w:val="00611D47"/>
    <w:rsid w:val="006362C0"/>
    <w:rsid w:val="00645F97"/>
    <w:rsid w:val="00656E1E"/>
    <w:rsid w:val="006604E4"/>
    <w:rsid w:val="0066168C"/>
    <w:rsid w:val="00682D8F"/>
    <w:rsid w:val="00684B3A"/>
    <w:rsid w:val="00684EFA"/>
    <w:rsid w:val="00685BF8"/>
    <w:rsid w:val="0069185F"/>
    <w:rsid w:val="006954FF"/>
    <w:rsid w:val="00695BB4"/>
    <w:rsid w:val="006A3CBF"/>
    <w:rsid w:val="006A6F8C"/>
    <w:rsid w:val="006B36A5"/>
    <w:rsid w:val="006B68A3"/>
    <w:rsid w:val="006C0679"/>
    <w:rsid w:val="006C54B5"/>
    <w:rsid w:val="006D1E24"/>
    <w:rsid w:val="006F5F91"/>
    <w:rsid w:val="00702BDF"/>
    <w:rsid w:val="007067B2"/>
    <w:rsid w:val="0071562F"/>
    <w:rsid w:val="0071672C"/>
    <w:rsid w:val="007251AD"/>
    <w:rsid w:val="007318F1"/>
    <w:rsid w:val="0073408E"/>
    <w:rsid w:val="00734A5B"/>
    <w:rsid w:val="00736239"/>
    <w:rsid w:val="00741EC5"/>
    <w:rsid w:val="00743525"/>
    <w:rsid w:val="00744E76"/>
    <w:rsid w:val="00746062"/>
    <w:rsid w:val="007476DB"/>
    <w:rsid w:val="0075565E"/>
    <w:rsid w:val="00757D40"/>
    <w:rsid w:val="007605F3"/>
    <w:rsid w:val="00765A81"/>
    <w:rsid w:val="00771543"/>
    <w:rsid w:val="00774846"/>
    <w:rsid w:val="00781F0F"/>
    <w:rsid w:val="00782170"/>
    <w:rsid w:val="0078727C"/>
    <w:rsid w:val="00797D4B"/>
    <w:rsid w:val="007B61A1"/>
    <w:rsid w:val="007B79F3"/>
    <w:rsid w:val="007B7ADD"/>
    <w:rsid w:val="007C095F"/>
    <w:rsid w:val="007C41D8"/>
    <w:rsid w:val="007D29BD"/>
    <w:rsid w:val="007D38CA"/>
    <w:rsid w:val="007D5902"/>
    <w:rsid w:val="007E55D7"/>
    <w:rsid w:val="007F0E20"/>
    <w:rsid w:val="007F2676"/>
    <w:rsid w:val="00802106"/>
    <w:rsid w:val="008028A4"/>
    <w:rsid w:val="00806012"/>
    <w:rsid w:val="00806520"/>
    <w:rsid w:val="008103D9"/>
    <w:rsid w:val="00811C91"/>
    <w:rsid w:val="00815E42"/>
    <w:rsid w:val="008260BA"/>
    <w:rsid w:val="008267B9"/>
    <w:rsid w:val="00830106"/>
    <w:rsid w:val="008357CF"/>
    <w:rsid w:val="00840916"/>
    <w:rsid w:val="00853EDD"/>
    <w:rsid w:val="008557C5"/>
    <w:rsid w:val="00856C36"/>
    <w:rsid w:val="00857FB0"/>
    <w:rsid w:val="008604EE"/>
    <w:rsid w:val="00871A3A"/>
    <w:rsid w:val="0087401D"/>
    <w:rsid w:val="008768CA"/>
    <w:rsid w:val="00877CA7"/>
    <w:rsid w:val="00880559"/>
    <w:rsid w:val="00885863"/>
    <w:rsid w:val="0089260E"/>
    <w:rsid w:val="00895E03"/>
    <w:rsid w:val="008A05EA"/>
    <w:rsid w:val="008A3DCB"/>
    <w:rsid w:val="008A5492"/>
    <w:rsid w:val="008A7B6F"/>
    <w:rsid w:val="008B7546"/>
    <w:rsid w:val="008C2835"/>
    <w:rsid w:val="008C490B"/>
    <w:rsid w:val="008C6C52"/>
    <w:rsid w:val="008D2DB2"/>
    <w:rsid w:val="008D4476"/>
    <w:rsid w:val="008E480B"/>
    <w:rsid w:val="008F050B"/>
    <w:rsid w:val="008F5063"/>
    <w:rsid w:val="0090271F"/>
    <w:rsid w:val="00903D8C"/>
    <w:rsid w:val="009108AE"/>
    <w:rsid w:val="00911AD2"/>
    <w:rsid w:val="009161FE"/>
    <w:rsid w:val="00916DEF"/>
    <w:rsid w:val="00921DBE"/>
    <w:rsid w:val="00936AF3"/>
    <w:rsid w:val="00942EC2"/>
    <w:rsid w:val="00945115"/>
    <w:rsid w:val="009478D6"/>
    <w:rsid w:val="00954BCB"/>
    <w:rsid w:val="00961B32"/>
    <w:rsid w:val="00971683"/>
    <w:rsid w:val="00972FD7"/>
    <w:rsid w:val="00974BB0"/>
    <w:rsid w:val="00981313"/>
    <w:rsid w:val="0098181D"/>
    <w:rsid w:val="009827F9"/>
    <w:rsid w:val="0098484D"/>
    <w:rsid w:val="00985DFF"/>
    <w:rsid w:val="009865E3"/>
    <w:rsid w:val="00994E0B"/>
    <w:rsid w:val="00996D7C"/>
    <w:rsid w:val="009A21A3"/>
    <w:rsid w:val="009A3D49"/>
    <w:rsid w:val="009A5864"/>
    <w:rsid w:val="009A6E4F"/>
    <w:rsid w:val="009B3DCE"/>
    <w:rsid w:val="009C4529"/>
    <w:rsid w:val="009C4D5C"/>
    <w:rsid w:val="009C7198"/>
    <w:rsid w:val="009D0A28"/>
    <w:rsid w:val="009D1DD2"/>
    <w:rsid w:val="009D4508"/>
    <w:rsid w:val="009D51ED"/>
    <w:rsid w:val="009E2DC5"/>
    <w:rsid w:val="009E32A8"/>
    <w:rsid w:val="009E618D"/>
    <w:rsid w:val="009F22EC"/>
    <w:rsid w:val="009F3B54"/>
    <w:rsid w:val="009F7E6E"/>
    <w:rsid w:val="00A008AA"/>
    <w:rsid w:val="00A069BA"/>
    <w:rsid w:val="00A10F02"/>
    <w:rsid w:val="00A1129F"/>
    <w:rsid w:val="00A11F67"/>
    <w:rsid w:val="00A149DF"/>
    <w:rsid w:val="00A224E7"/>
    <w:rsid w:val="00A26828"/>
    <w:rsid w:val="00A41B02"/>
    <w:rsid w:val="00A45006"/>
    <w:rsid w:val="00A46EA9"/>
    <w:rsid w:val="00A5184E"/>
    <w:rsid w:val="00A53724"/>
    <w:rsid w:val="00A54039"/>
    <w:rsid w:val="00A604CA"/>
    <w:rsid w:val="00A60E5F"/>
    <w:rsid w:val="00A6204F"/>
    <w:rsid w:val="00A62566"/>
    <w:rsid w:val="00A672AE"/>
    <w:rsid w:val="00A814E6"/>
    <w:rsid w:val="00A82346"/>
    <w:rsid w:val="00A8361A"/>
    <w:rsid w:val="00A83EFB"/>
    <w:rsid w:val="00A854E0"/>
    <w:rsid w:val="00A90AF3"/>
    <w:rsid w:val="00A9671C"/>
    <w:rsid w:val="00AA6C71"/>
    <w:rsid w:val="00AB3938"/>
    <w:rsid w:val="00AB52C1"/>
    <w:rsid w:val="00AB6287"/>
    <w:rsid w:val="00AB6AAB"/>
    <w:rsid w:val="00AD4BCF"/>
    <w:rsid w:val="00AD5F0C"/>
    <w:rsid w:val="00AD75B7"/>
    <w:rsid w:val="00AE369A"/>
    <w:rsid w:val="00AF4A8E"/>
    <w:rsid w:val="00AF78D5"/>
    <w:rsid w:val="00B01AD0"/>
    <w:rsid w:val="00B0327B"/>
    <w:rsid w:val="00B03C75"/>
    <w:rsid w:val="00B05314"/>
    <w:rsid w:val="00B1063A"/>
    <w:rsid w:val="00B12EC3"/>
    <w:rsid w:val="00B15449"/>
    <w:rsid w:val="00B21241"/>
    <w:rsid w:val="00B3488E"/>
    <w:rsid w:val="00B46C64"/>
    <w:rsid w:val="00B47040"/>
    <w:rsid w:val="00B64BDA"/>
    <w:rsid w:val="00B65470"/>
    <w:rsid w:val="00B66C39"/>
    <w:rsid w:val="00B746AA"/>
    <w:rsid w:val="00B7707E"/>
    <w:rsid w:val="00B77606"/>
    <w:rsid w:val="00B8044E"/>
    <w:rsid w:val="00B9781E"/>
    <w:rsid w:val="00B9797A"/>
    <w:rsid w:val="00BA076A"/>
    <w:rsid w:val="00BA2359"/>
    <w:rsid w:val="00BA5210"/>
    <w:rsid w:val="00BA63AB"/>
    <w:rsid w:val="00BB00AC"/>
    <w:rsid w:val="00BC05EA"/>
    <w:rsid w:val="00BE45ED"/>
    <w:rsid w:val="00BF79F1"/>
    <w:rsid w:val="00C03035"/>
    <w:rsid w:val="00C0698A"/>
    <w:rsid w:val="00C12A79"/>
    <w:rsid w:val="00C12C14"/>
    <w:rsid w:val="00C150AD"/>
    <w:rsid w:val="00C275BC"/>
    <w:rsid w:val="00C31102"/>
    <w:rsid w:val="00C33079"/>
    <w:rsid w:val="00C365F1"/>
    <w:rsid w:val="00C42D1A"/>
    <w:rsid w:val="00C43B31"/>
    <w:rsid w:val="00C50055"/>
    <w:rsid w:val="00C50536"/>
    <w:rsid w:val="00C50FF2"/>
    <w:rsid w:val="00C55EB7"/>
    <w:rsid w:val="00C61C4F"/>
    <w:rsid w:val="00C62E62"/>
    <w:rsid w:val="00C71A4A"/>
    <w:rsid w:val="00C80E96"/>
    <w:rsid w:val="00C84ED9"/>
    <w:rsid w:val="00C85480"/>
    <w:rsid w:val="00C92316"/>
    <w:rsid w:val="00CA12DE"/>
    <w:rsid w:val="00CA3D0C"/>
    <w:rsid w:val="00CA73EC"/>
    <w:rsid w:val="00CB0A0B"/>
    <w:rsid w:val="00CB6651"/>
    <w:rsid w:val="00CB6887"/>
    <w:rsid w:val="00CC0433"/>
    <w:rsid w:val="00CC4275"/>
    <w:rsid w:val="00CD071F"/>
    <w:rsid w:val="00CD4C7B"/>
    <w:rsid w:val="00CE7AC8"/>
    <w:rsid w:val="00CE7E9A"/>
    <w:rsid w:val="00CF234F"/>
    <w:rsid w:val="00D0092A"/>
    <w:rsid w:val="00D10A43"/>
    <w:rsid w:val="00D10F56"/>
    <w:rsid w:val="00D15B43"/>
    <w:rsid w:val="00D17BD7"/>
    <w:rsid w:val="00D22038"/>
    <w:rsid w:val="00D252A7"/>
    <w:rsid w:val="00D30C2C"/>
    <w:rsid w:val="00D30D94"/>
    <w:rsid w:val="00D32F38"/>
    <w:rsid w:val="00D35E9B"/>
    <w:rsid w:val="00D41E7A"/>
    <w:rsid w:val="00D454EC"/>
    <w:rsid w:val="00D45717"/>
    <w:rsid w:val="00D5049A"/>
    <w:rsid w:val="00D5437E"/>
    <w:rsid w:val="00D628AE"/>
    <w:rsid w:val="00D71A52"/>
    <w:rsid w:val="00D738D6"/>
    <w:rsid w:val="00D80795"/>
    <w:rsid w:val="00D84644"/>
    <w:rsid w:val="00D87E00"/>
    <w:rsid w:val="00D908B4"/>
    <w:rsid w:val="00D9134D"/>
    <w:rsid w:val="00D93A7E"/>
    <w:rsid w:val="00D945BE"/>
    <w:rsid w:val="00D97CD9"/>
    <w:rsid w:val="00DA58E4"/>
    <w:rsid w:val="00DA7A03"/>
    <w:rsid w:val="00DB0CFB"/>
    <w:rsid w:val="00DB1818"/>
    <w:rsid w:val="00DB70F4"/>
    <w:rsid w:val="00DC1627"/>
    <w:rsid w:val="00DC309B"/>
    <w:rsid w:val="00DC4DA2"/>
    <w:rsid w:val="00DD36C3"/>
    <w:rsid w:val="00DE1406"/>
    <w:rsid w:val="00DE2F3D"/>
    <w:rsid w:val="00DF486C"/>
    <w:rsid w:val="00DF5351"/>
    <w:rsid w:val="00E00126"/>
    <w:rsid w:val="00E07838"/>
    <w:rsid w:val="00E14D20"/>
    <w:rsid w:val="00E15A7E"/>
    <w:rsid w:val="00E20528"/>
    <w:rsid w:val="00E2531F"/>
    <w:rsid w:val="00E26B57"/>
    <w:rsid w:val="00E30B21"/>
    <w:rsid w:val="00E340BC"/>
    <w:rsid w:val="00E51B43"/>
    <w:rsid w:val="00E51F8B"/>
    <w:rsid w:val="00E5734D"/>
    <w:rsid w:val="00E619F5"/>
    <w:rsid w:val="00E6201F"/>
    <w:rsid w:val="00E62835"/>
    <w:rsid w:val="00E64401"/>
    <w:rsid w:val="00E65F59"/>
    <w:rsid w:val="00E70AB5"/>
    <w:rsid w:val="00E77645"/>
    <w:rsid w:val="00E80778"/>
    <w:rsid w:val="00E84AD6"/>
    <w:rsid w:val="00E852FF"/>
    <w:rsid w:val="00E86D4B"/>
    <w:rsid w:val="00E90ABE"/>
    <w:rsid w:val="00EA0E43"/>
    <w:rsid w:val="00EA1D56"/>
    <w:rsid w:val="00EA22F8"/>
    <w:rsid w:val="00EA6184"/>
    <w:rsid w:val="00EC3F78"/>
    <w:rsid w:val="00EC4759"/>
    <w:rsid w:val="00EC4A25"/>
    <w:rsid w:val="00ED096C"/>
    <w:rsid w:val="00ED5CAA"/>
    <w:rsid w:val="00EE0A1E"/>
    <w:rsid w:val="00EE306B"/>
    <w:rsid w:val="00F00248"/>
    <w:rsid w:val="00F025A2"/>
    <w:rsid w:val="00F04EBA"/>
    <w:rsid w:val="00F1134F"/>
    <w:rsid w:val="00F14B93"/>
    <w:rsid w:val="00F15C79"/>
    <w:rsid w:val="00F16227"/>
    <w:rsid w:val="00F2026E"/>
    <w:rsid w:val="00F20FDF"/>
    <w:rsid w:val="00F2210A"/>
    <w:rsid w:val="00F25D02"/>
    <w:rsid w:val="00F33829"/>
    <w:rsid w:val="00F37743"/>
    <w:rsid w:val="00F426BE"/>
    <w:rsid w:val="00F522A8"/>
    <w:rsid w:val="00F53DA0"/>
    <w:rsid w:val="00F54A3D"/>
    <w:rsid w:val="00F5752C"/>
    <w:rsid w:val="00F653B8"/>
    <w:rsid w:val="00F70FBC"/>
    <w:rsid w:val="00F76F8F"/>
    <w:rsid w:val="00F806FB"/>
    <w:rsid w:val="00F839F1"/>
    <w:rsid w:val="00F975D7"/>
    <w:rsid w:val="00F97D2B"/>
    <w:rsid w:val="00FA1266"/>
    <w:rsid w:val="00FA48C6"/>
    <w:rsid w:val="00FB2BEA"/>
    <w:rsid w:val="00FB4E30"/>
    <w:rsid w:val="00FC1192"/>
    <w:rsid w:val="00FC53BF"/>
    <w:rsid w:val="00FC6713"/>
    <w:rsid w:val="00FE1523"/>
    <w:rsid w:val="00FF313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2"/>
    </o:shapelayout>
  </w:shapeDefaults>
  <w:decimalSymbol w:val=","/>
  <w:listSeparator w:val=";"/>
  <w14:docId w14:val="0D330CC9"/>
  <w15:chartTrackingRefBased/>
  <w15:docId w15:val="{7FA5CDEB-9D51-4F7D-87DB-2B38D4B4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NormalWeb">
    <w:name w:val="Normal (Web)"/>
    <w:basedOn w:val="Normal"/>
    <w:uiPriority w:val="99"/>
    <w:unhideWhenUsed/>
    <w:rsid w:val="004740B7"/>
    <w:pPr>
      <w:spacing w:before="100" w:beforeAutospacing="1" w:after="100" w:afterAutospacing="1"/>
    </w:pPr>
    <w:rPr>
      <w:sz w:val="24"/>
      <w:szCs w:val="24"/>
      <w:lang w:val="en-US"/>
    </w:rPr>
  </w:style>
  <w:style w:type="paragraph" w:styleId="Caption">
    <w:name w:val="caption"/>
    <w:basedOn w:val="Normal"/>
    <w:next w:val="Normal"/>
    <w:unhideWhenUsed/>
    <w:qFormat/>
    <w:rsid w:val="002E6450"/>
    <w:rPr>
      <w:b/>
      <w:bCs/>
    </w:rPr>
  </w:style>
  <w:style w:type="paragraph" w:styleId="Revision">
    <w:name w:val="Revision"/>
    <w:hidden/>
    <w:uiPriority w:val="99"/>
    <w:semiHidden/>
    <w:rsid w:val="00D30D94"/>
    <w:rPr>
      <w:lang w:val="en-GB"/>
    </w:rPr>
  </w:style>
  <w:style w:type="character" w:customStyle="1" w:styleId="B1Zchn">
    <w:name w:val="B1 Zchn"/>
    <w:link w:val="B1"/>
    <w:qFormat/>
    <w:rsid w:val="00D30D94"/>
    <w:rPr>
      <w:lang w:val="en-GB"/>
    </w:rPr>
  </w:style>
  <w:style w:type="character" w:styleId="CommentReference">
    <w:name w:val="annotation reference"/>
    <w:rsid w:val="00D30D94"/>
    <w:rPr>
      <w:sz w:val="16"/>
      <w:szCs w:val="16"/>
    </w:rPr>
  </w:style>
  <w:style w:type="paragraph" w:styleId="CommentText">
    <w:name w:val="annotation text"/>
    <w:basedOn w:val="Normal"/>
    <w:link w:val="CommentTextChar"/>
    <w:rsid w:val="00D30D94"/>
  </w:style>
  <w:style w:type="character" w:customStyle="1" w:styleId="CommentTextChar">
    <w:name w:val="Comment Text Char"/>
    <w:link w:val="CommentText"/>
    <w:rsid w:val="00D30D94"/>
    <w:rPr>
      <w:lang w:val="en-GB"/>
    </w:rPr>
  </w:style>
  <w:style w:type="paragraph" w:styleId="CommentSubject">
    <w:name w:val="annotation subject"/>
    <w:basedOn w:val="CommentText"/>
    <w:next w:val="CommentText"/>
    <w:link w:val="CommentSubjectChar"/>
    <w:rsid w:val="00D30D94"/>
    <w:rPr>
      <w:b/>
      <w:bCs/>
    </w:rPr>
  </w:style>
  <w:style w:type="character" w:customStyle="1" w:styleId="CommentSubjectChar">
    <w:name w:val="Comment Subject Char"/>
    <w:link w:val="CommentSubject"/>
    <w:rsid w:val="00D30D94"/>
    <w:rPr>
      <w:b/>
      <w:bCs/>
      <w:lang w:val="en-GB"/>
    </w:rPr>
  </w:style>
  <w:style w:type="paragraph" w:styleId="ListParagraph">
    <w:name w:val="List Paragraph"/>
    <w:basedOn w:val="Normal"/>
    <w:uiPriority w:val="34"/>
    <w:qFormat/>
    <w:rsid w:val="00DB0CFB"/>
    <w:pPr>
      <w:ind w:left="720"/>
    </w:pPr>
  </w:style>
  <w:style w:type="character" w:styleId="Mention">
    <w:name w:val="Mention"/>
    <w:uiPriority w:val="99"/>
    <w:unhideWhenUsed/>
    <w:rsid w:val="00BB00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359714">
      <w:bodyDiv w:val="1"/>
      <w:marLeft w:val="0"/>
      <w:marRight w:val="0"/>
      <w:marTop w:val="0"/>
      <w:marBottom w:val="0"/>
      <w:divBdr>
        <w:top w:val="none" w:sz="0" w:space="0" w:color="auto"/>
        <w:left w:val="none" w:sz="0" w:space="0" w:color="auto"/>
        <w:bottom w:val="none" w:sz="0" w:space="0" w:color="auto"/>
        <w:right w:val="none" w:sz="0" w:space="0" w:color="auto"/>
      </w:divBdr>
    </w:div>
    <w:div w:id="308293919">
      <w:bodyDiv w:val="1"/>
      <w:marLeft w:val="0"/>
      <w:marRight w:val="0"/>
      <w:marTop w:val="0"/>
      <w:marBottom w:val="0"/>
      <w:divBdr>
        <w:top w:val="none" w:sz="0" w:space="0" w:color="auto"/>
        <w:left w:val="none" w:sz="0" w:space="0" w:color="auto"/>
        <w:bottom w:val="none" w:sz="0" w:space="0" w:color="auto"/>
        <w:right w:val="none" w:sz="0" w:space="0" w:color="auto"/>
      </w:divBdr>
    </w:div>
    <w:div w:id="496118836">
      <w:bodyDiv w:val="1"/>
      <w:marLeft w:val="0"/>
      <w:marRight w:val="0"/>
      <w:marTop w:val="0"/>
      <w:marBottom w:val="0"/>
      <w:divBdr>
        <w:top w:val="none" w:sz="0" w:space="0" w:color="auto"/>
        <w:left w:val="none" w:sz="0" w:space="0" w:color="auto"/>
        <w:bottom w:val="none" w:sz="0" w:space="0" w:color="auto"/>
        <w:right w:val="none" w:sz="0" w:space="0" w:color="auto"/>
      </w:divBdr>
    </w:div>
    <w:div w:id="536624534">
      <w:bodyDiv w:val="1"/>
      <w:marLeft w:val="0"/>
      <w:marRight w:val="0"/>
      <w:marTop w:val="0"/>
      <w:marBottom w:val="0"/>
      <w:divBdr>
        <w:top w:val="none" w:sz="0" w:space="0" w:color="auto"/>
        <w:left w:val="none" w:sz="0" w:space="0" w:color="auto"/>
        <w:bottom w:val="none" w:sz="0" w:space="0" w:color="auto"/>
        <w:right w:val="none" w:sz="0" w:space="0" w:color="auto"/>
      </w:divBdr>
    </w:div>
    <w:div w:id="675767035">
      <w:bodyDiv w:val="1"/>
      <w:marLeft w:val="0"/>
      <w:marRight w:val="0"/>
      <w:marTop w:val="0"/>
      <w:marBottom w:val="0"/>
      <w:divBdr>
        <w:top w:val="none" w:sz="0" w:space="0" w:color="auto"/>
        <w:left w:val="none" w:sz="0" w:space="0" w:color="auto"/>
        <w:bottom w:val="none" w:sz="0" w:space="0" w:color="auto"/>
        <w:right w:val="none" w:sz="0" w:space="0" w:color="auto"/>
      </w:divBdr>
    </w:div>
    <w:div w:id="749889820">
      <w:bodyDiv w:val="1"/>
      <w:marLeft w:val="0"/>
      <w:marRight w:val="0"/>
      <w:marTop w:val="0"/>
      <w:marBottom w:val="0"/>
      <w:divBdr>
        <w:top w:val="none" w:sz="0" w:space="0" w:color="auto"/>
        <w:left w:val="none" w:sz="0" w:space="0" w:color="auto"/>
        <w:bottom w:val="none" w:sz="0" w:space="0" w:color="auto"/>
        <w:right w:val="none" w:sz="0" w:space="0" w:color="auto"/>
      </w:divBdr>
    </w:div>
    <w:div w:id="761486061">
      <w:bodyDiv w:val="1"/>
      <w:marLeft w:val="0"/>
      <w:marRight w:val="0"/>
      <w:marTop w:val="0"/>
      <w:marBottom w:val="0"/>
      <w:divBdr>
        <w:top w:val="none" w:sz="0" w:space="0" w:color="auto"/>
        <w:left w:val="none" w:sz="0" w:space="0" w:color="auto"/>
        <w:bottom w:val="none" w:sz="0" w:space="0" w:color="auto"/>
        <w:right w:val="none" w:sz="0" w:space="0" w:color="auto"/>
      </w:divBdr>
    </w:div>
    <w:div w:id="761951327">
      <w:bodyDiv w:val="1"/>
      <w:marLeft w:val="0"/>
      <w:marRight w:val="0"/>
      <w:marTop w:val="0"/>
      <w:marBottom w:val="0"/>
      <w:divBdr>
        <w:top w:val="none" w:sz="0" w:space="0" w:color="auto"/>
        <w:left w:val="none" w:sz="0" w:space="0" w:color="auto"/>
        <w:bottom w:val="none" w:sz="0" w:space="0" w:color="auto"/>
        <w:right w:val="none" w:sz="0" w:space="0" w:color="auto"/>
      </w:divBdr>
    </w:div>
    <w:div w:id="868831784">
      <w:bodyDiv w:val="1"/>
      <w:marLeft w:val="0"/>
      <w:marRight w:val="0"/>
      <w:marTop w:val="0"/>
      <w:marBottom w:val="0"/>
      <w:divBdr>
        <w:top w:val="none" w:sz="0" w:space="0" w:color="auto"/>
        <w:left w:val="none" w:sz="0" w:space="0" w:color="auto"/>
        <w:bottom w:val="none" w:sz="0" w:space="0" w:color="auto"/>
        <w:right w:val="none" w:sz="0" w:space="0" w:color="auto"/>
      </w:divBdr>
    </w:div>
    <w:div w:id="934747679">
      <w:bodyDiv w:val="1"/>
      <w:marLeft w:val="0"/>
      <w:marRight w:val="0"/>
      <w:marTop w:val="0"/>
      <w:marBottom w:val="0"/>
      <w:divBdr>
        <w:top w:val="none" w:sz="0" w:space="0" w:color="auto"/>
        <w:left w:val="none" w:sz="0" w:space="0" w:color="auto"/>
        <w:bottom w:val="none" w:sz="0" w:space="0" w:color="auto"/>
        <w:right w:val="none" w:sz="0" w:space="0" w:color="auto"/>
      </w:divBdr>
    </w:div>
    <w:div w:id="969634659">
      <w:bodyDiv w:val="1"/>
      <w:marLeft w:val="0"/>
      <w:marRight w:val="0"/>
      <w:marTop w:val="0"/>
      <w:marBottom w:val="0"/>
      <w:divBdr>
        <w:top w:val="none" w:sz="0" w:space="0" w:color="auto"/>
        <w:left w:val="none" w:sz="0" w:space="0" w:color="auto"/>
        <w:bottom w:val="none" w:sz="0" w:space="0" w:color="auto"/>
        <w:right w:val="none" w:sz="0" w:space="0" w:color="auto"/>
      </w:divBdr>
    </w:div>
    <w:div w:id="1092899931">
      <w:bodyDiv w:val="1"/>
      <w:marLeft w:val="0"/>
      <w:marRight w:val="0"/>
      <w:marTop w:val="0"/>
      <w:marBottom w:val="0"/>
      <w:divBdr>
        <w:top w:val="none" w:sz="0" w:space="0" w:color="auto"/>
        <w:left w:val="none" w:sz="0" w:space="0" w:color="auto"/>
        <w:bottom w:val="none" w:sz="0" w:space="0" w:color="auto"/>
        <w:right w:val="none" w:sz="0" w:space="0" w:color="auto"/>
      </w:divBdr>
    </w:div>
    <w:div w:id="1103645044">
      <w:bodyDiv w:val="1"/>
      <w:marLeft w:val="0"/>
      <w:marRight w:val="0"/>
      <w:marTop w:val="0"/>
      <w:marBottom w:val="0"/>
      <w:divBdr>
        <w:top w:val="none" w:sz="0" w:space="0" w:color="auto"/>
        <w:left w:val="none" w:sz="0" w:space="0" w:color="auto"/>
        <w:bottom w:val="none" w:sz="0" w:space="0" w:color="auto"/>
        <w:right w:val="none" w:sz="0" w:space="0" w:color="auto"/>
      </w:divBdr>
    </w:div>
    <w:div w:id="1316303189">
      <w:bodyDiv w:val="1"/>
      <w:marLeft w:val="0"/>
      <w:marRight w:val="0"/>
      <w:marTop w:val="0"/>
      <w:marBottom w:val="0"/>
      <w:divBdr>
        <w:top w:val="none" w:sz="0" w:space="0" w:color="auto"/>
        <w:left w:val="none" w:sz="0" w:space="0" w:color="auto"/>
        <w:bottom w:val="none" w:sz="0" w:space="0" w:color="auto"/>
        <w:right w:val="none" w:sz="0" w:space="0" w:color="auto"/>
      </w:divBdr>
    </w:div>
    <w:div w:id="1333996612">
      <w:bodyDiv w:val="1"/>
      <w:marLeft w:val="0"/>
      <w:marRight w:val="0"/>
      <w:marTop w:val="0"/>
      <w:marBottom w:val="0"/>
      <w:divBdr>
        <w:top w:val="none" w:sz="0" w:space="0" w:color="auto"/>
        <w:left w:val="none" w:sz="0" w:space="0" w:color="auto"/>
        <w:bottom w:val="none" w:sz="0" w:space="0" w:color="auto"/>
        <w:right w:val="none" w:sz="0" w:space="0" w:color="auto"/>
      </w:divBdr>
    </w:div>
    <w:div w:id="1388073027">
      <w:bodyDiv w:val="1"/>
      <w:marLeft w:val="0"/>
      <w:marRight w:val="0"/>
      <w:marTop w:val="0"/>
      <w:marBottom w:val="0"/>
      <w:divBdr>
        <w:top w:val="none" w:sz="0" w:space="0" w:color="auto"/>
        <w:left w:val="none" w:sz="0" w:space="0" w:color="auto"/>
        <w:bottom w:val="none" w:sz="0" w:space="0" w:color="auto"/>
        <w:right w:val="none" w:sz="0" w:space="0" w:color="auto"/>
      </w:divBdr>
    </w:div>
    <w:div w:id="140660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RBI5PAMIO524-1616901215-30044</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https://nokia.sharepoint.com/sites/gxp/_layouts/15/DocIdRedir.aspx?ID=RBI5PAMIO524-1616901215-30044</Url>
      <Description>RBI5PAMIO524-1616901215-30044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2D101-250D-4425-B243-357B7BE158B9}">
  <ds:schemaRefs>
    <ds:schemaRef ds:uri="Microsoft.SharePoint.Taxonomy.ContentTypeSync"/>
  </ds:schemaRefs>
</ds:datastoreItem>
</file>

<file path=customXml/itemProps2.xml><?xml version="1.0" encoding="utf-8"?>
<ds:datastoreItem xmlns:ds="http://schemas.openxmlformats.org/officeDocument/2006/customXml" ds:itemID="{66CA6130-77AD-426C-9E2B-F0C61A366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9B0A4-D675-4EA3-A6C3-05C09AEE9792}">
  <ds:schemaRefs>
    <ds:schemaRef ds:uri="http://schemas.microsoft.com/sharepoint/events"/>
  </ds:schemaRefs>
</ds:datastoreItem>
</file>

<file path=customXml/itemProps4.xml><?xml version="1.0" encoding="utf-8"?>
<ds:datastoreItem xmlns:ds="http://schemas.openxmlformats.org/officeDocument/2006/customXml" ds:itemID="{921E1DA7-5F50-405A-B2E7-315FCD61830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978467D-F9A3-4498-8087-612F61ED0A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691</TotalTime>
  <Pages>6</Pages>
  <Words>2219</Words>
  <Characters>12649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14839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 Helmers (Nokia)</cp:lastModifiedBy>
  <cp:revision>197</cp:revision>
  <dcterms:created xsi:type="dcterms:W3CDTF">2019-06-29T22:33:00Z</dcterms:created>
  <dcterms:modified xsi:type="dcterms:W3CDTF">2024-10-02T18:35:00Z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a860d532-d9cd-457c-bd90-fbea9cb16895</vt:lpwstr>
  </property>
  <property fmtid="{D5CDD505-2E9C-101B-9397-08002B2CF9AE}" pid="4" name="MediaServiceImageTags">
    <vt:lpwstr/>
  </property>
</Properties>
</file>